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9"/>
        <w:rPr>
          <w:rFonts w:hint="default" w:ascii="Arial" w:hAnsi="Arial" w:eastAsia="宋体" w:cs="Arial"/>
          <w:b/>
          <w:bCs/>
          <w:sz w:val="28"/>
          <w:lang w:val="en-US" w:eastAsia="zh-CN"/>
        </w:rPr>
      </w:pPr>
      <w:bookmarkStart w:id="0" w:name="OLE_LINK26"/>
      <w:r>
        <w:rPr>
          <w:rFonts w:ascii="Arial" w:hAnsi="Arial" w:cs="Arial"/>
          <w:b/>
          <w:bCs/>
          <w:sz w:val="28"/>
        </w:rPr>
        <w:t>3GPP TSG RAN WG1 #10</w:t>
      </w:r>
      <w:r>
        <w:rPr>
          <w:rFonts w:hint="eastAsia" w:ascii="Arial" w:hAnsi="Arial" w:cs="Arial"/>
          <w:b/>
          <w:bCs/>
          <w:sz w:val="28"/>
          <w:lang w:val="en-US" w:eastAsia="zh-CN"/>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w:t>
      </w:r>
      <w:r>
        <w:rPr>
          <w:rFonts w:hint="eastAsia" w:ascii="Arial" w:hAnsi="Arial" w:cs="Arial"/>
          <w:b/>
          <w:bCs/>
          <w:sz w:val="28"/>
          <w:lang w:val="en-US" w:eastAsia="zh-CN"/>
        </w:rPr>
        <w:t>11441</w:t>
      </w:r>
    </w:p>
    <w:p>
      <w:pPr>
        <w:tabs>
          <w:tab w:val="center" w:pos="4536"/>
          <w:tab w:val="right" w:pos="9072"/>
        </w:tabs>
        <w:outlineLvl w:val="9"/>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cs="Arial"/>
          <w:b/>
          <w:bCs/>
          <w:sz w:val="28"/>
          <w:lang w:val="en-US" w:eastAsia="zh-CN"/>
        </w:rPr>
        <w:t xml:space="preserve">November </w:t>
      </w:r>
      <w:r>
        <w:rPr>
          <w:rFonts w:ascii="Arial" w:hAnsi="Arial" w:eastAsia="MS Mincho" w:cs="Arial"/>
          <w:b/>
          <w:bCs/>
          <w:sz w:val="28"/>
          <w:lang w:eastAsia="ja-JP"/>
        </w:rPr>
        <w:t>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8.4.1</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lang w:val="en-US" w:eastAsia="zh-CN"/>
        </w:rPr>
        <w:t>Discussion o</w:t>
      </w:r>
      <w:r>
        <w:rPr>
          <w:rFonts w:hint="eastAsia" w:ascii="Arial" w:hAnsi="Arial"/>
          <w:b/>
          <w:sz w:val="22"/>
          <w:szCs w:val="20"/>
        </w:rPr>
        <w:t>n timing relationship enhancement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4589705"/>
      <w:bookmarkStart w:id="4" w:name="_Ref129681862"/>
      <w:r>
        <w:t>Introduction</w:t>
      </w:r>
      <w:bookmarkEnd w:id="3"/>
      <w:bookmarkEnd w:id="4"/>
    </w:p>
    <w:p>
      <w:pPr>
        <w:autoSpaceDE/>
        <w:adjustRightInd/>
        <w:snapToGrid/>
        <w:rPr>
          <w:rFonts w:hint="default" w:eastAsia="PMingLiU"/>
          <w:lang w:val="en-US" w:eastAsia="zh-TW"/>
        </w:rPr>
      </w:pPr>
      <w:r>
        <w:rPr>
          <w:lang w:eastAsia="zh-CN"/>
        </w:rPr>
        <w:t>In RAN1#10</w:t>
      </w:r>
      <w:r>
        <w:rPr>
          <w:rFonts w:hint="eastAsia"/>
          <w:lang w:val="en-US" w:eastAsia="zh-CN"/>
        </w:rPr>
        <w:t>6bis</w:t>
      </w:r>
      <w:r>
        <w:rPr>
          <w:lang w:eastAsia="zh-CN"/>
        </w:rPr>
        <w:t xml:space="preserve">-e, </w:t>
      </w:r>
      <w:r>
        <w:rPr>
          <w:rFonts w:hint="eastAsia"/>
          <w:lang w:val="en-US" w:eastAsia="zh-CN"/>
        </w:rPr>
        <w:t>some</w:t>
      </w:r>
      <w:r>
        <w:rPr>
          <w:lang w:eastAsia="zh-CN"/>
        </w:rPr>
        <w:t xml:space="preserve"> agreements have been achieved to enhance the timing relationship for NTN</w:t>
      </w:r>
      <w:r>
        <w:rPr>
          <w:rFonts w:hint="eastAsia"/>
          <w:lang w:val="en-US" w:eastAsia="zh-CN"/>
        </w:rPr>
        <w:t>. [1]</w:t>
      </w:r>
    </w:p>
    <w:p>
      <w:r>
        <w:rPr>
          <w:lang w:eastAsia="zh-CN"/>
        </w:rPr>
        <mc:AlternateContent>
          <mc:Choice Requires="wps">
            <w:drawing>
              <wp:inline distT="0" distB="0" distL="0" distR="0">
                <wp:extent cx="6120130" cy="6666865"/>
                <wp:effectExtent l="4445" t="4445" r="17145" b="19050"/>
                <wp:docPr id="1027" name="文本框 8"/>
                <wp:cNvGraphicFramePr/>
                <a:graphic xmlns:a="http://schemas.openxmlformats.org/drawingml/2006/main">
                  <a:graphicData uri="http://schemas.microsoft.com/office/word/2010/wordprocessingShape">
                    <wps:wsp>
                      <wps:cNvSpPr/>
                      <wps:spPr>
                        <a:xfrm>
                          <a:off x="0" y="0"/>
                          <a:ext cx="6120130" cy="6666865"/>
                        </a:xfrm>
                        <a:prstGeom prst="rect">
                          <a:avLst/>
                        </a:prstGeom>
                        <a:solidFill>
                          <a:srgbClr val="FFFFFF"/>
                        </a:solidFill>
                        <a:ln w="9525" cap="flat" cmpd="sng">
                          <a:solidFill>
                            <a:srgbClr val="000000"/>
                          </a:solidFill>
                          <a:prstDash val="solid"/>
                          <a:miter/>
                        </a:ln>
                      </wps:spPr>
                      <wps:txbx>
                        <w:txbxContent>
                          <w:p>
                            <w:r>
                              <w:rPr>
                                <w:highlight w:val="green"/>
                              </w:rPr>
                              <w:t>Agreement:</w:t>
                            </w:r>
                          </w:p>
                          <w:p>
                            <w:r>
                              <w:t>Signalling one value for cell-specific K_offset is supported.</w:t>
                            </w:r>
                          </w:p>
                          <w:p/>
                          <w:p>
                            <w:r>
                              <w:rPr>
                                <w:highlight w:val="green"/>
                              </w:rPr>
                              <w:t>Agreement:</w:t>
                            </w:r>
                          </w:p>
                          <w:p>
                            <w:pPr>
                              <w:numPr>
                                <w:ilvl w:val="0"/>
                                <w:numId w:val="4"/>
                              </w:numPr>
                            </w:pPr>
                            <w:r>
                              <w:t>For the reference subcarrier spacing value for the unit of K_offset in FR1, a value of 15 kHz is used.</w:t>
                            </w:r>
                          </w:p>
                          <w:p>
                            <w:pPr>
                              <w:numPr>
                                <w:ilvl w:val="0"/>
                                <w:numId w:val="4"/>
                              </w:numPr>
                            </w:pPr>
                            <w:r>
                              <w:t>FFS: FR2</w:t>
                            </w:r>
                          </w:p>
                          <w:p/>
                          <w:p>
                            <w:r>
                              <w:rPr>
                                <w:highlight w:val="green"/>
                              </w:rPr>
                              <w:t>Agreement:</w:t>
                            </w:r>
                          </w:p>
                          <w:p>
                            <w:r>
                              <w:t>The granularity of the reported TA is slot.</w:t>
                            </w:r>
                          </w:p>
                          <w:p>
                            <w:pPr>
                              <w:numPr>
                                <w:ilvl w:val="0"/>
                                <w:numId w:val="5"/>
                              </w:numPr>
                            </w:pPr>
                            <w:r>
                              <w:t>FFS how to round TA value to slot level granularity</w:t>
                            </w:r>
                          </w:p>
                          <w:p/>
                          <w:p>
                            <w:r>
                              <w:rPr>
                                <w:highlight w:val="green"/>
                              </w:rPr>
                              <w:t>Agreement:</w:t>
                            </w:r>
                          </w:p>
                          <w:p>
                            <w:r>
                              <w:t>For the reference subcarrier spacing value for the unit of K_mac in FR1, a value of 15 kHz is used.</w:t>
                            </w:r>
                          </w:p>
                          <w:p>
                            <w:pPr>
                              <w:numPr>
                                <w:ilvl w:val="0"/>
                                <w:numId w:val="5"/>
                              </w:numPr>
                            </w:pPr>
                            <w:r>
                              <w:t>FFS: FR2</w:t>
                            </w:r>
                          </w:p>
                          <w:p/>
                          <w:p>
                            <w:r>
                              <w:rPr>
                                <w:highlight w:val="green"/>
                              </w:rPr>
                              <w:t>Agreement:</w:t>
                            </w:r>
                          </w:p>
                          <w:p>
                            <w:pPr>
                              <w:rPr>
                                <w:rFonts w:cs="Times"/>
                              </w:rPr>
                            </w:pPr>
                            <w:r>
                              <w:rPr>
                                <w:rFonts w:cs="Times"/>
                              </w:rPr>
                              <w:t>For defining value range(s) of K_offset, down-select one option from below:</w:t>
                            </w:r>
                          </w:p>
                          <w:tbl>
                            <w:tblPr>
                              <w:tblStyle w:val="16"/>
                              <w:tblW w:w="0" w:type="auto"/>
                              <w:tblInd w:w="360" w:type="dxa"/>
                              <w:tblLayout w:type="autofit"/>
                              <w:tblCellMar>
                                <w:top w:w="0" w:type="dxa"/>
                                <w:left w:w="0" w:type="dxa"/>
                                <w:bottom w:w="0" w:type="dxa"/>
                                <w:right w:w="0" w:type="dxa"/>
                              </w:tblCellMar>
                            </w:tblPr>
                            <w:tblGrid>
                              <w:gridCol w:w="3065"/>
                              <w:gridCol w:w="3067"/>
                              <w:gridCol w:w="3059"/>
                            </w:tblGrid>
                            <w:tr>
                              <w:tblPrEx>
                                <w:tblCellMar>
                                  <w:top w:w="0" w:type="dxa"/>
                                  <w:left w:w="0" w:type="dxa"/>
                                  <w:bottom w:w="0" w:type="dxa"/>
                                  <w:right w:w="0" w:type="dxa"/>
                                </w:tblCellMar>
                              </w:tblPrEx>
                              <w:tc>
                                <w:tcPr>
                                  <w:tcW w:w="3209" w:type="dxa"/>
                                  <w:tcBorders>
                                    <w:top w:val="single" w:color="auto" w:sz="8" w:space="0"/>
                                    <w:left w:val="single" w:color="auto" w:sz="8" w:space="0"/>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Option</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Value range</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Step size</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1: One value range of K_offset covering all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[0] – [542] ms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K_offset</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2: Different value ranges of K_offset for different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LEO: [0] – [49] ms</w:t>
                                  </w:r>
                                </w:p>
                                <w:p>
                                  <w:pPr>
                                    <w:rPr>
                                      <w:rFonts w:cs="Times"/>
                                    </w:rPr>
                                  </w:pPr>
                                  <w:r>
                                    <w:rPr>
                                      <w:rFonts w:cs="Times"/>
                                    </w:rPr>
                                    <w:t>MEO: [93] – [395] ms</w:t>
                                  </w:r>
                                </w:p>
                                <w:p>
                                  <w:pPr>
                                    <w:rPr>
                                      <w:rFonts w:cs="Times"/>
                                    </w:rPr>
                                  </w:pPr>
                                  <w:r>
                                    <w:rPr>
                                      <w:rFonts w:cs="Times"/>
                                    </w:rPr>
                                    <w:t>GEO: [477] – [542] ms</w:t>
                                  </w:r>
                                </w:p>
                                <w:p>
                                  <w:pPr>
                                    <w:rPr>
                                      <w:rFonts w:cs="Times"/>
                                    </w:rPr>
                                  </w:pPr>
                                  <w:r>
                                    <w:rPr>
                                      <w:rFonts w:cs="Times"/>
                                    </w:rPr>
                                    <w:t>FFS: ATG and HAPS</w:t>
                                  </w:r>
                                </w:p>
                                <w:p>
                                  <w:pPr>
                                    <w:rPr>
                                      <w:rFonts w:cs="Times"/>
                                    </w:rPr>
                                  </w:pPr>
                                  <w:r>
                                    <w:rPr>
                                      <w:rFonts w:cs="Times"/>
                                    </w:rPr>
                                    <w:t>FFS: How to determine the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K_offset</w:t>
                                  </w:r>
                                </w:p>
                              </w:tc>
                            </w:tr>
                            <w:tr>
                              <w:tblPrEx>
                                <w:tblCellMar>
                                  <w:top w:w="0" w:type="dxa"/>
                                  <w:left w:w="0" w:type="dxa"/>
                                  <w:bottom w:w="0" w:type="dxa"/>
                                  <w:right w:w="0" w:type="dxa"/>
                                </w:tblCellMar>
                              </w:tblPrEx>
                              <w:tc>
                                <w:tcPr>
                                  <w:tcW w:w="9629" w:type="dxa"/>
                                  <w:gridSpan w:val="3"/>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Note: If deemed necessary, numbers in bracket can be further updated at RAN1#107-e.</w:t>
                                  </w:r>
                                </w:p>
                              </w:tc>
                            </w:tr>
                          </w:tbl>
                          <w:p>
                            <w:pPr>
                              <w:rPr>
                                <w:rFonts w:cs="Times"/>
                              </w:rPr>
                            </w:pPr>
                          </w:p>
                          <w:p>
                            <w:pPr>
                              <w:rPr>
                                <w:lang w:val="en-GB" w:eastAsia="zh-CN"/>
                              </w:rPr>
                            </w:pPr>
                          </w:p>
                        </w:txbxContent>
                      </wps:txbx>
                      <wps:bodyPr vert="horz" wrap="square" lIns="91440" tIns="45720" rIns="91440" bIns="45720" anchor="t" upright="1">
                        <a:noAutofit/>
                      </wps:bodyPr>
                    </wps:wsp>
                  </a:graphicData>
                </a:graphic>
              </wp:inline>
            </w:drawing>
          </mc:Choice>
          <mc:Fallback>
            <w:pict>
              <v:rect id="文本框 8" o:spid="_x0000_s1026" o:spt="1" style="height:524.95pt;width:481.9pt;" fillcolor="#FFFFFF" filled="t" stroked="t" coordsize="21600,21600" o:gfxdata="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t+1DNUA&#10;AAAGAQAADwAAAAAAAAABACAAAAAiAAAAZHJzL2Rvd25yZXYueG1sUEsBAhQAFAAAAAgAh07iQIKV&#10;3vIiAgAATwQAAA4AAAAAAAAAAQAgAAAAJAEAAGRycy9lMm9Eb2MueG1sUEsFBgAAAAAGAAYAWQEA&#10;ALgFAAAAAA==&#10;">
                <v:fill on="t" focussize="0,0"/>
                <v:stroke color="#000000" joinstyle="miter"/>
                <v:imagedata o:title=""/>
                <o:lock v:ext="edit" aspectratio="f"/>
                <v:textbox>
                  <w:txbxContent>
                    <w:p>
                      <w:r>
                        <w:rPr>
                          <w:highlight w:val="green"/>
                        </w:rPr>
                        <w:t>Agreement:</w:t>
                      </w:r>
                    </w:p>
                    <w:p>
                      <w:r>
                        <w:t>Signalling one value for cell-specific K_offset is supported.</w:t>
                      </w:r>
                    </w:p>
                    <w:p/>
                    <w:p>
                      <w:r>
                        <w:rPr>
                          <w:highlight w:val="green"/>
                        </w:rPr>
                        <w:t>Agreement:</w:t>
                      </w:r>
                    </w:p>
                    <w:p>
                      <w:pPr>
                        <w:numPr>
                          <w:ilvl w:val="0"/>
                          <w:numId w:val="4"/>
                        </w:numPr>
                      </w:pPr>
                      <w:r>
                        <w:t>For the reference subcarrier spacing value for the unit of K_offset in FR1, a value of 15 kHz is used.</w:t>
                      </w:r>
                    </w:p>
                    <w:p>
                      <w:pPr>
                        <w:numPr>
                          <w:ilvl w:val="0"/>
                          <w:numId w:val="4"/>
                        </w:numPr>
                      </w:pPr>
                      <w:r>
                        <w:t>FFS: FR2</w:t>
                      </w:r>
                    </w:p>
                    <w:p/>
                    <w:p>
                      <w:r>
                        <w:rPr>
                          <w:highlight w:val="green"/>
                        </w:rPr>
                        <w:t>Agreement:</w:t>
                      </w:r>
                    </w:p>
                    <w:p>
                      <w:r>
                        <w:t>The granularity of the reported TA is slot.</w:t>
                      </w:r>
                    </w:p>
                    <w:p>
                      <w:pPr>
                        <w:numPr>
                          <w:ilvl w:val="0"/>
                          <w:numId w:val="5"/>
                        </w:numPr>
                      </w:pPr>
                      <w:r>
                        <w:t>FFS how to round TA value to slot level granularity</w:t>
                      </w:r>
                    </w:p>
                    <w:p/>
                    <w:p>
                      <w:r>
                        <w:rPr>
                          <w:highlight w:val="green"/>
                        </w:rPr>
                        <w:t>Agreement:</w:t>
                      </w:r>
                    </w:p>
                    <w:p>
                      <w:r>
                        <w:t>For the reference subcarrier spacing value for the unit of K_mac in FR1, a value of 15 kHz is used.</w:t>
                      </w:r>
                    </w:p>
                    <w:p>
                      <w:pPr>
                        <w:numPr>
                          <w:ilvl w:val="0"/>
                          <w:numId w:val="5"/>
                        </w:numPr>
                      </w:pPr>
                      <w:r>
                        <w:t>FFS: FR2</w:t>
                      </w:r>
                    </w:p>
                    <w:p/>
                    <w:p>
                      <w:r>
                        <w:rPr>
                          <w:highlight w:val="green"/>
                        </w:rPr>
                        <w:t>Agreement:</w:t>
                      </w:r>
                    </w:p>
                    <w:p>
                      <w:pPr>
                        <w:rPr>
                          <w:rFonts w:cs="Times"/>
                        </w:rPr>
                      </w:pPr>
                      <w:r>
                        <w:rPr>
                          <w:rFonts w:cs="Times"/>
                        </w:rPr>
                        <w:t>For defining value range(s) of K_offset, down-select one option from below:</w:t>
                      </w:r>
                    </w:p>
                    <w:tbl>
                      <w:tblPr>
                        <w:tblStyle w:val="16"/>
                        <w:tblW w:w="0" w:type="auto"/>
                        <w:tblInd w:w="360" w:type="dxa"/>
                        <w:tblLayout w:type="autofit"/>
                        <w:tblCellMar>
                          <w:top w:w="0" w:type="dxa"/>
                          <w:left w:w="0" w:type="dxa"/>
                          <w:bottom w:w="0" w:type="dxa"/>
                          <w:right w:w="0" w:type="dxa"/>
                        </w:tblCellMar>
                      </w:tblPr>
                      <w:tblGrid>
                        <w:gridCol w:w="3065"/>
                        <w:gridCol w:w="3067"/>
                        <w:gridCol w:w="3059"/>
                      </w:tblGrid>
                      <w:tr>
                        <w:tblPrEx>
                          <w:tblCellMar>
                            <w:top w:w="0" w:type="dxa"/>
                            <w:left w:w="0" w:type="dxa"/>
                            <w:bottom w:w="0" w:type="dxa"/>
                            <w:right w:w="0" w:type="dxa"/>
                          </w:tblCellMar>
                        </w:tblPrEx>
                        <w:tc>
                          <w:tcPr>
                            <w:tcW w:w="3209" w:type="dxa"/>
                            <w:tcBorders>
                              <w:top w:val="single" w:color="auto" w:sz="8" w:space="0"/>
                              <w:left w:val="single" w:color="auto" w:sz="8" w:space="0"/>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Option</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Value range</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Step size</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1: One value range of K_offset covering all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[0] – [542] ms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K_offset</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2: Different value ranges of K_offset for different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LEO: [0] – [49] ms</w:t>
                            </w:r>
                          </w:p>
                          <w:p>
                            <w:pPr>
                              <w:rPr>
                                <w:rFonts w:cs="Times"/>
                              </w:rPr>
                            </w:pPr>
                            <w:r>
                              <w:rPr>
                                <w:rFonts w:cs="Times"/>
                              </w:rPr>
                              <w:t>MEO: [93] – [395] ms</w:t>
                            </w:r>
                          </w:p>
                          <w:p>
                            <w:pPr>
                              <w:rPr>
                                <w:rFonts w:cs="Times"/>
                              </w:rPr>
                            </w:pPr>
                            <w:r>
                              <w:rPr>
                                <w:rFonts w:cs="Times"/>
                              </w:rPr>
                              <w:t>GEO: [477] – [542] ms</w:t>
                            </w:r>
                          </w:p>
                          <w:p>
                            <w:pPr>
                              <w:rPr>
                                <w:rFonts w:cs="Times"/>
                              </w:rPr>
                            </w:pPr>
                            <w:r>
                              <w:rPr>
                                <w:rFonts w:cs="Times"/>
                              </w:rPr>
                              <w:t>FFS: ATG and HAPS</w:t>
                            </w:r>
                          </w:p>
                          <w:p>
                            <w:pPr>
                              <w:rPr>
                                <w:rFonts w:cs="Times"/>
                              </w:rPr>
                            </w:pPr>
                            <w:r>
                              <w:rPr>
                                <w:rFonts w:cs="Times"/>
                              </w:rPr>
                              <w:t>FFS: How to determine the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K_offset</w:t>
                            </w:r>
                          </w:p>
                        </w:tc>
                      </w:tr>
                      <w:tr>
                        <w:tblPrEx>
                          <w:tblCellMar>
                            <w:top w:w="0" w:type="dxa"/>
                            <w:left w:w="0" w:type="dxa"/>
                            <w:bottom w:w="0" w:type="dxa"/>
                            <w:right w:w="0" w:type="dxa"/>
                          </w:tblCellMar>
                        </w:tblPrEx>
                        <w:tc>
                          <w:tcPr>
                            <w:tcW w:w="9629" w:type="dxa"/>
                            <w:gridSpan w:val="3"/>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Note: If deemed necessary, numbers in bracket can be further updated at RAN1#107-e.</w:t>
                            </w:r>
                          </w:p>
                        </w:tc>
                      </w:tr>
                    </w:tbl>
                    <w:p>
                      <w:pPr>
                        <w:rPr>
                          <w:rFonts w:cs="Times"/>
                        </w:rPr>
                      </w:pPr>
                    </w:p>
                    <w:p>
                      <w:pPr>
                        <w:rPr>
                          <w:lang w:val="en-GB" w:eastAsia="zh-CN"/>
                        </w:rPr>
                      </w:pPr>
                    </w:p>
                  </w:txbxContent>
                </v:textbox>
                <w10:wrap type="none"/>
                <w10:anchorlock/>
              </v:rect>
            </w:pict>
          </mc:Fallback>
        </mc:AlternateContent>
      </w:r>
    </w:p>
    <w:p>
      <w:r>
        <w:rPr>
          <w:lang w:eastAsia="zh-CN"/>
        </w:rPr>
        <mc:AlternateContent>
          <mc:Choice Requires="wps">
            <w:drawing>
              <wp:inline distT="0" distB="0" distL="0" distR="0">
                <wp:extent cx="6120130" cy="9110980"/>
                <wp:effectExtent l="4445" t="5080" r="17145" b="12700"/>
                <wp:docPr id="1029" name="文本框 1"/>
                <wp:cNvGraphicFramePr/>
                <a:graphic xmlns:a="http://schemas.openxmlformats.org/drawingml/2006/main">
                  <a:graphicData uri="http://schemas.microsoft.com/office/word/2010/wordprocessingShape">
                    <wps:wsp>
                      <wps:cNvSpPr/>
                      <wps:spPr>
                        <a:xfrm>
                          <a:off x="0" y="0"/>
                          <a:ext cx="6120130" cy="9110980"/>
                        </a:xfrm>
                        <a:prstGeom prst="rect">
                          <a:avLst/>
                        </a:prstGeom>
                        <a:solidFill>
                          <a:srgbClr val="FFFFFF"/>
                        </a:solidFill>
                        <a:ln w="9525" cap="flat" cmpd="sng">
                          <a:solidFill>
                            <a:srgbClr val="000000"/>
                          </a:solidFill>
                          <a:prstDash val="solid"/>
                          <a:miter/>
                        </a:ln>
                      </wps:spPr>
                      <wps:txbx>
                        <w:txbxContent>
                          <w:p>
                            <w:pPr>
                              <w:rPr>
                                <w:rFonts w:cs="Times"/>
                              </w:rPr>
                            </w:pPr>
                            <w:r>
                              <w:rPr>
                                <w:rFonts w:cs="Times"/>
                                <w:highlight w:val="green"/>
                              </w:rPr>
                              <w:t>Agreement:</w:t>
                            </w:r>
                          </w:p>
                          <w:p>
                            <w:pPr>
                              <w:rPr>
                                <w:rFonts w:cs="Times"/>
                              </w:rPr>
                            </w:pPr>
                            <w:r>
                              <w:rPr>
                                <w:rFonts w:cs="Times"/>
                              </w:rPr>
                              <w:t>For defining value range(s) of K_mac, down-select one option from below:</w:t>
                            </w:r>
                          </w:p>
                          <w:tbl>
                            <w:tblPr>
                              <w:tblStyle w:val="16"/>
                              <w:tblW w:w="0" w:type="auto"/>
                              <w:tblInd w:w="360" w:type="dxa"/>
                              <w:tblLayout w:type="autofit"/>
                              <w:tblCellMar>
                                <w:top w:w="0" w:type="dxa"/>
                                <w:left w:w="0" w:type="dxa"/>
                                <w:bottom w:w="0" w:type="dxa"/>
                                <w:right w:w="0" w:type="dxa"/>
                              </w:tblCellMar>
                            </w:tblPr>
                            <w:tblGrid>
                              <w:gridCol w:w="3068"/>
                              <w:gridCol w:w="3070"/>
                              <w:gridCol w:w="3053"/>
                            </w:tblGrid>
                            <w:tr>
                              <w:tblPrEx>
                                <w:tblCellMar>
                                  <w:top w:w="0" w:type="dxa"/>
                                  <w:left w:w="0" w:type="dxa"/>
                                  <w:bottom w:w="0" w:type="dxa"/>
                                  <w:right w:w="0" w:type="dxa"/>
                                </w:tblCellMar>
                              </w:tblPrEx>
                              <w:tc>
                                <w:tcPr>
                                  <w:tcW w:w="3209" w:type="dxa"/>
                                  <w:tcBorders>
                                    <w:top w:val="single" w:color="auto" w:sz="8" w:space="0"/>
                                    <w:left w:val="single" w:color="auto" w:sz="8" w:space="0"/>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Option</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Value range</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Step size</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1: One value range of K_mac covering all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[1] – [271] ms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K_mac</w:t>
                                  </w:r>
                                </w:p>
                              </w:tc>
                            </w:tr>
                            <w:tr>
                              <w:tblPrEx>
                                <w:tblCellMar>
                                  <w:top w:w="0" w:type="dxa"/>
                                  <w:left w:w="0" w:type="dxa"/>
                                  <w:bottom w:w="0" w:type="dxa"/>
                                  <w:right w:w="0" w:type="dxa"/>
                                </w:tblCellMar>
                              </w:tblPrEx>
                              <w:trPr>
                                <w:trHeight w:val="318" w:hRule="atLeast"/>
                              </w:trPr>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2: Different value ranges of K_mac for different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LEO: [1] – [25] ms</w:t>
                                  </w:r>
                                </w:p>
                                <w:p>
                                  <w:pPr>
                                    <w:rPr>
                                      <w:rFonts w:cs="Times"/>
                                    </w:rPr>
                                  </w:pPr>
                                  <w:r>
                                    <w:rPr>
                                      <w:rFonts w:cs="Times"/>
                                    </w:rPr>
                                    <w:t>MEO: [1] – [198] ms</w:t>
                                  </w:r>
                                </w:p>
                                <w:p>
                                  <w:pPr>
                                    <w:rPr>
                                      <w:rFonts w:cs="Times"/>
                                    </w:rPr>
                                  </w:pPr>
                                  <w:r>
                                    <w:rPr>
                                      <w:rFonts w:cs="Times"/>
                                    </w:rPr>
                                    <w:t>GEO: [1] – [271] ms</w:t>
                                  </w:r>
                                </w:p>
                                <w:p>
                                  <w:pPr>
                                    <w:rPr>
                                      <w:rFonts w:cs="Times"/>
                                    </w:rPr>
                                  </w:pPr>
                                  <w:r>
                                    <w:rPr>
                                      <w:rFonts w:cs="Times"/>
                                    </w:rPr>
                                    <w:t>FFS: ATG and HAPS</w:t>
                                  </w:r>
                                </w:p>
                                <w:p>
                                  <w:pPr>
                                    <w:rPr>
                                      <w:rFonts w:cs="Times"/>
                                    </w:rPr>
                                  </w:pPr>
                                  <w:r>
                                    <w:rPr>
                                      <w:rFonts w:cs="Times"/>
                                    </w:rPr>
                                    <w:t>FFS: How to determine the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K_mac</w:t>
                                  </w:r>
                                </w:p>
                              </w:tc>
                            </w:tr>
                            <w:tr>
                              <w:tblPrEx>
                                <w:tblCellMar>
                                  <w:top w:w="0" w:type="dxa"/>
                                  <w:left w:w="0" w:type="dxa"/>
                                  <w:bottom w:w="0" w:type="dxa"/>
                                  <w:right w:w="0" w:type="dxa"/>
                                </w:tblCellMar>
                              </w:tblPrEx>
                              <w:tc>
                                <w:tcPr>
                                  <w:tcW w:w="9629" w:type="dxa"/>
                                  <w:gridSpan w:val="3"/>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Note 1: If deemed necessary, numbers in bracket can be further updated at RAN1#107-e.</w:t>
                                  </w:r>
                                </w:p>
                                <w:p>
                                  <w:pPr>
                                    <w:rPr>
                                      <w:rFonts w:cs="Times"/>
                                    </w:rPr>
                                  </w:pPr>
                                  <w:r>
                                    <w:rPr>
                                      <w:rFonts w:cs="Times"/>
                                    </w:rPr>
                                    <w:t>Note 2: Note that it was agreed already that when UE is not provided by network with a K_mac value, UE assumes K_mac = 0.</w:t>
                                  </w:r>
                                </w:p>
                              </w:tc>
                            </w:tr>
                          </w:tbl>
                          <w:p>
                            <w:r>
                              <w:rPr>
                                <w:highlight w:val="green"/>
                              </w:rPr>
                              <w:t>Agreement:</w:t>
                            </w:r>
                          </w:p>
                          <w:p>
                            <w:r>
                              <w:t>RAN1 to conclude the following as a basis to reply to RAN2:</w:t>
                            </w:r>
                          </w:p>
                          <w:p>
                            <w:pPr>
                              <w:numPr>
                                <w:ilvl w:val="0"/>
                                <w:numId w:val="5"/>
                              </w:numPr>
                            </w:pPr>
                            <w:r>
                              <w:t>RAN1 definition of UE’s TA is given by the following agreement:</w:t>
                            </w:r>
                          </w:p>
                          <w:p>
                            <w:pPr>
                              <w:ind w:left="1520"/>
                            </w:pPr>
                            <w:r>
                              <w:rPr>
                                <w:highlight w:val="green"/>
                              </w:rPr>
                              <w:t>Agreement:</w:t>
                            </w:r>
                          </w:p>
                          <w:p>
                            <w:pPr>
                              <w:ind w:left="1520"/>
                              <w:rPr>
                                <w:color w:val="000000"/>
                                <w:sz w:val="18"/>
                                <w:szCs w:val="18"/>
                              </w:rPr>
                            </w:pPr>
                            <w:r>
                              <w:rPr>
                                <w:color w:val="000000"/>
                              </w:rPr>
                              <w:t>The Timing Advance applied by an NR NTN UE in</w:t>
                            </w:r>
                            <w:r>
                              <w:rPr>
                                <w:rStyle w:val="37"/>
                                <w:color w:val="000000"/>
                              </w:rPr>
                              <w:t> </w:t>
                            </w:r>
                            <w:r>
                              <w:rPr>
                                <w:color w:val="000000"/>
                              </w:rPr>
                              <w:t>RRC_IDLE/INACTIVE and RRC_CONNECTED</w:t>
                            </w:r>
                            <w:r>
                              <w:rPr>
                                <w:rStyle w:val="37"/>
                                <w:color w:val="000000"/>
                              </w:rPr>
                              <w:t> </w:t>
                            </w:r>
                            <w:r>
                              <w:rPr>
                                <w:color w:val="000000"/>
                              </w:rPr>
                              <w:t>is given by:</w:t>
                            </w:r>
                          </w:p>
                          <w:p>
                            <w:pPr>
                              <w:ind w:left="1520"/>
                              <w:jc w:val="center"/>
                              <w:rPr>
                                <w:color w:val="000000"/>
                                <w:sz w:val="18"/>
                                <w:szCs w:val="18"/>
                              </w:rPr>
                            </w:pPr>
                            <m:oMathPara>
                              <m:oMath>
                                <m:sSub>
                                  <m:sSubPr>
                                    <m:ctrlPr>
                                      <w:rPr>
                                        <w:rFonts w:ascii="Cambria Math" w:hAnsi="Cambria Math" w:eastAsia="Calibri" w:cs="Calibri"/>
                                        <w:sz w:val="22"/>
                                        <w:szCs w:val="22"/>
                                      </w:rPr>
                                    </m:ctrlPr>
                                  </m:sSubPr>
                                  <m:e>
                                    <m:r>
                                      <m:rPr>
                                        <m:sty m:val="p"/>
                                      </m:rPr>
                                      <w:rPr>
                                        <w:rFonts w:ascii="Cambria Math" w:hAnsi="Cambria Math"/>
                                      </w:rPr>
                                      <m:t>T</m:t>
                                    </m:r>
                                    <m:ctrlPr>
                                      <w:rPr>
                                        <w:rFonts w:ascii="Cambria Math" w:hAnsi="Cambria Math" w:eastAsia="Calibri" w:cs="Calibri"/>
                                        <w:sz w:val="22"/>
                                        <w:szCs w:val="22"/>
                                      </w:rPr>
                                    </m:ctrlPr>
                                  </m:e>
                                  <m:sub>
                                    <m:r>
                                      <m:rPr>
                                        <m:sty m:val="p"/>
                                      </m:rPr>
                                      <w:rPr>
                                        <w:rFonts w:ascii="Cambria Math" w:hAnsi="Cambria Math"/>
                                      </w:rPr>
                                      <m:t>TA</m:t>
                                    </m:r>
                                    <m:ctrlPr>
                                      <w:rPr>
                                        <w:rFonts w:ascii="Cambria Math" w:hAnsi="Cambria Math" w:eastAsia="Calibri" w:cs="Calibri"/>
                                        <w:sz w:val="22"/>
                                        <w:szCs w:val="22"/>
                                      </w:rPr>
                                    </m:ctrlPr>
                                  </m:sub>
                                </m:sSub>
                                <m:r>
                                  <m:rPr>
                                    <m:sty m:val="p"/>
                                  </m:rPr>
                                  <w:rPr>
                                    <w:rFonts w:ascii="Cambria Math" w:hAnsi="Cambria Math"/>
                                  </w:rPr>
                                  <m:t>=</m:t>
                                </m:r>
                                <m:d>
                                  <m:dPr>
                                    <m:ctrlPr>
                                      <w:rPr>
                                        <w:rFonts w:ascii="Cambria Math" w:hAnsi="Cambria Math" w:eastAsia="Calibri" w:cs="Calibri"/>
                                        <w:sz w:val="22"/>
                                        <w:szCs w:val="22"/>
                                      </w:rPr>
                                    </m:ctrlPr>
                                  </m:dPr>
                                  <m:e>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 UE−specific</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TA,common</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TA,offset</m:t>
                                        </m:r>
                                        <m:ctrlPr>
                                          <w:rPr>
                                            <w:rFonts w:ascii="Cambria Math" w:hAnsi="Cambria Math" w:eastAsia="Calibri" w:cs="Calibri"/>
                                            <w:sz w:val="22"/>
                                            <w:szCs w:val="22"/>
                                          </w:rPr>
                                        </m:ctrlPr>
                                      </m:sub>
                                    </m:sSub>
                                    <m:ctrlPr>
                                      <w:rPr>
                                        <w:rFonts w:ascii="Cambria Math" w:hAnsi="Cambria Math" w:eastAsia="Calibri" w:cs="Calibri"/>
                                        <w:sz w:val="22"/>
                                        <w:szCs w:val="22"/>
                                      </w:rPr>
                                    </m:ctrlPr>
                                  </m:e>
                                </m:d>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T</m:t>
                                    </m:r>
                                    <m:ctrlPr>
                                      <w:rPr>
                                        <w:rFonts w:ascii="Cambria Math" w:hAnsi="Cambria Math" w:eastAsia="Calibri" w:cs="Calibri"/>
                                        <w:sz w:val="22"/>
                                        <w:szCs w:val="22"/>
                                      </w:rPr>
                                    </m:ctrlPr>
                                  </m:e>
                                  <m:sub>
                                    <m:r>
                                      <m:rPr>
                                        <m:sty m:val="p"/>
                                      </m:rPr>
                                      <w:rPr>
                                        <w:rFonts w:ascii="Cambria Math" w:hAnsi="Cambria Math"/>
                                      </w:rPr>
                                      <m:t>c</m:t>
                                    </m:r>
                                    <m:ctrlPr>
                                      <w:rPr>
                                        <w:rFonts w:ascii="Cambria Math" w:hAnsi="Cambria Math" w:eastAsia="Calibri" w:cs="Calibri"/>
                                        <w:sz w:val="22"/>
                                        <w:szCs w:val="22"/>
                                      </w:rPr>
                                    </m:ctrlPr>
                                  </m:sub>
                                </m:sSub>
                              </m:oMath>
                            </m:oMathPara>
                          </w:p>
                          <w:p>
                            <w:pPr>
                              <w:ind w:left="1520"/>
                              <w:rPr>
                                <w:color w:val="000000"/>
                                <w:sz w:val="18"/>
                                <w:szCs w:val="18"/>
                                <w:lang w:val="fr-FR"/>
                              </w:rPr>
                            </w:pPr>
                            <w:r>
                              <w:rPr>
                                <w:color w:val="000000"/>
                              </w:rPr>
                              <w:t>Where:</w:t>
                            </w:r>
                          </w:p>
                          <w:p>
                            <w:pPr>
                              <w:numPr>
                                <w:ilvl w:val="0"/>
                                <w:numId w:val="6"/>
                              </w:numPr>
                              <w:tabs>
                                <w:tab w:val="left" w:pos="80"/>
                              </w:tabs>
                              <w:ind w:left="2240"/>
                              <w:rPr>
                                <w:color w:val="000000"/>
                                <w:sz w:val="18"/>
                                <w:szCs w:val="18"/>
                                <w:lang w:val="en-US"/>
                              </w:rPr>
                            </w:pPr>
                            <w:r>
                              <w:rPr>
                                <w:rStyle w:val="37"/>
                                <w:color w:val="000000"/>
                                <w:sz w:val="18"/>
                                <w:szCs w:val="18"/>
                              </w:rPr>
                              <w:fldChar w:fldCharType="begin"/>
                            </w:r>
                            <w:r>
                              <w:rPr>
                                <w:rStyle w:val="37"/>
                                <w:color w:val="000000"/>
                                <w:sz w:val="18"/>
                                <w:szCs w:val="18"/>
                              </w:rPr>
                              <w:instrText xml:space="preserve"> QUOTE </w:instrText>
                            </w:r>
                            <w:r>
                              <w:rPr>
                                <w:position w:val="-5"/>
                              </w:rPr>
                              <w:pict>
                                <v:shape id="_x0000_i1025" o:spt="75" type="#_x0000_t75" style="height:12.6pt;width:1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0FFD&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E80FFD&quot; wsp:rsidP=&quot;00E80FFD&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Style w:val="37"/>
                                <w:color w:val="000000"/>
                                <w:sz w:val="18"/>
                                <w:szCs w:val="18"/>
                              </w:rPr>
                              <w:instrText xml:space="preserve"> </w:instrText>
                            </w:r>
                            <w:r>
                              <w:rPr>
                                <w:rStyle w:val="37"/>
                                <w:color w:val="000000"/>
                                <w:sz w:val="18"/>
                                <w:szCs w:val="18"/>
                              </w:rPr>
                              <w:fldChar w:fldCharType="separate"/>
                            </w:r>
                            <w:r>
                              <w:rPr>
                                <w:position w:val="-5"/>
                              </w:rPr>
                              <w:pict>
                                <v:shape id="_x0000_i1026" o:spt="75" type="#_x0000_t75" style="height:12.6pt;width:1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0FFD&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E80FFD&quot; wsp:rsidP=&quot;00E80FFD&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Style w:val="37"/>
                                <w:color w:val="000000"/>
                                <w:sz w:val="18"/>
                                <w:szCs w:val="18"/>
                              </w:rPr>
                              <w:fldChar w:fldCharType="end"/>
                            </w:r>
                            <w:r>
                              <w:rPr>
                                <w:rStyle w:val="37"/>
                                <w:color w:val="000000"/>
                                <w:sz w:val="18"/>
                                <w:szCs w:val="18"/>
                              </w:rPr>
                              <w:t> </w:t>
                            </w:r>
                            <w:r>
                              <w:rPr>
                                <w:i/>
                                <w:iCs/>
                                <w:color w:val="000000"/>
                                <w:sz w:val="18"/>
                                <w:szCs w:val="18"/>
                              </w:rPr>
                              <w:t> </w:t>
                            </w:r>
                            <w:r>
                              <w:rPr>
                                <w:color w:val="000000"/>
                              </w:rPr>
                              <w:t>is defined as 0 for PRACH and updated based on TA Command field in msg2/msgB and MAC CE TA command.</w:t>
                            </w:r>
                            <w:r>
                              <w:rPr>
                                <w:color w:val="000000"/>
                                <w:sz w:val="18"/>
                                <w:szCs w:val="18"/>
                              </w:rPr>
                              <w:t xml:space="preserve"> </w:t>
                            </w:r>
                          </w:p>
                          <w:p>
                            <w:pPr>
                              <w:numPr>
                                <w:ilvl w:val="1"/>
                                <w:numId w:val="6"/>
                              </w:numPr>
                              <w:tabs>
                                <w:tab w:val="left" w:pos="800"/>
                              </w:tabs>
                              <w:ind w:left="2960"/>
                              <w:rPr>
                                <w:sz w:val="18"/>
                                <w:szCs w:val="18"/>
                              </w:rPr>
                            </w:pPr>
                            <w:r>
                              <w:t>FFS: details of</w:t>
                            </w:r>
                            <w:r>
                              <w:rPr>
                                <w:rStyle w:val="37"/>
                              </w:rPr>
                              <w:t> </w:t>
                            </w:r>
                            <w:r>
                              <w:t>N</w:t>
                            </w:r>
                            <w:r>
                              <w:rPr>
                                <w:vertAlign w:val="subscript"/>
                              </w:rPr>
                              <w:t>TA</w:t>
                            </w:r>
                            <w:r>
                              <w:rPr>
                                <w:rStyle w:val="37"/>
                              </w:rPr>
                              <w:t> </w:t>
                            </w:r>
                            <w:r>
                              <w:t>update/accumulation.</w:t>
                            </w:r>
                          </w:p>
                          <w:p>
                            <w:pPr>
                              <w:numPr>
                                <w:ilvl w:val="0"/>
                                <w:numId w:val="6"/>
                              </w:numPr>
                              <w:tabs>
                                <w:tab w:val="left" w:pos="80"/>
                              </w:tabs>
                              <w:ind w:left="2240"/>
                              <w:rPr>
                                <w:sz w:val="18"/>
                                <w:szCs w:val="18"/>
                              </w:rPr>
                            </w:pPr>
                            <w:r>
                              <w:fldChar w:fldCharType="begin"/>
                            </w:r>
                            <w:r>
                              <w:instrText xml:space="preserve"> QUOTE </w:instrText>
                            </w:r>
                            <w:r>
                              <w:rPr>
                                <w:position w:val="-8"/>
                              </w:rPr>
                              <w:pict>
                                <v:shape id="_x0000_i1027" o:spt="75" type="#_x0000_t75" style="height:14.4pt;width:53.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1DF8&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9E1DF8&quot; wsp:rsidP=&quot;009E1DF8&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8"/>
                              </w:rPr>
                              <w:pict>
                                <v:shape id="_x0000_i1028" o:spt="75" type="#_x0000_t75" style="height:14.4pt;width:53.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1DF8&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9E1DF8&quot; wsp:rsidP=&quot;009E1DF8&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is UE self-estimated TA to pre-compensate for the service link delay.</w:t>
                            </w:r>
                          </w:p>
                          <w:p>
                            <w:pPr>
                              <w:numPr>
                                <w:ilvl w:val="0"/>
                                <w:numId w:val="6"/>
                              </w:numPr>
                              <w:tabs>
                                <w:tab w:val="left" w:pos="80"/>
                              </w:tabs>
                              <w:ind w:left="2240"/>
                              <w:rPr>
                                <w:sz w:val="18"/>
                                <w:szCs w:val="18"/>
                              </w:rPr>
                            </w:pPr>
                            <w:r>
                              <w:rPr>
                                <w:rStyle w:val="37"/>
                              </w:rPr>
                              <w:fldChar w:fldCharType="begin"/>
                            </w:r>
                            <w:r>
                              <w:rPr>
                                <w:rStyle w:val="37"/>
                              </w:rPr>
                              <w:instrText xml:space="preserve"> QUOTE </w:instrText>
                            </w:r>
                            <w:r>
                              <w:rPr>
                                <w:position w:val="-6"/>
                              </w:rPr>
                              <w:pict>
                                <v:shape id="_x0000_i1029"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391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793913&quot; wsp:rsidP=&quot;00793913&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instrText xml:space="preserve"> </w:instrText>
                            </w:r>
                            <w:r>
                              <w:rPr>
                                <w:rStyle w:val="37"/>
                              </w:rPr>
                              <w:fldChar w:fldCharType="separate"/>
                            </w:r>
                            <w:r>
                              <w:rPr>
                                <w:position w:val="-6"/>
                              </w:rPr>
                              <w:pict>
                                <v:shape id="_x0000_i1030"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391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793913&quot; wsp:rsidP=&quot;00793913&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fldChar w:fldCharType="end"/>
                            </w:r>
                            <w:r>
                              <w:rPr>
                                <w:rStyle w:val="37"/>
                              </w:rPr>
                              <w:t> </w:t>
                            </w:r>
                            <w:r>
                              <w:t>is network-controlled common TA, and may</w:t>
                            </w:r>
                            <w:r>
                              <w:rPr>
                                <w:rStyle w:val="37"/>
                              </w:rPr>
                              <w:t> </w:t>
                            </w:r>
                            <w:r>
                              <w:t>include any timing offset considered necessary by the network.</w:t>
                            </w:r>
                          </w:p>
                          <w:p>
                            <w:pPr>
                              <w:numPr>
                                <w:ilvl w:val="0"/>
                                <w:numId w:val="6"/>
                              </w:numPr>
                              <w:tabs>
                                <w:tab w:val="left" w:pos="80"/>
                              </w:tabs>
                              <w:ind w:left="2240"/>
                              <w:rPr>
                                <w:sz w:val="18"/>
                                <w:szCs w:val="18"/>
                              </w:rPr>
                            </w:pPr>
                            <w:r>
                              <w:rPr>
                                <w:rStyle w:val="37"/>
                              </w:rPr>
                              <w:fldChar w:fldCharType="begin"/>
                            </w:r>
                            <w:r>
                              <w:rPr>
                                <w:rStyle w:val="37"/>
                              </w:rPr>
                              <w:instrText xml:space="preserve"> QUOTE </w:instrText>
                            </w:r>
                            <w:r>
                              <w:rPr>
                                <w:position w:val="-6"/>
                              </w:rPr>
                              <w:pict>
                                <v:shape id="_x0000_i1031"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1E99&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0F1E99&quot; wsp:rsidP=&quot;000F1E99&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instrText xml:space="preserve"> </w:instrText>
                            </w:r>
                            <w:r>
                              <w:rPr>
                                <w:rStyle w:val="37"/>
                              </w:rPr>
                              <w:fldChar w:fldCharType="separate"/>
                            </w:r>
                            <w:r>
                              <w:rPr>
                                <w:position w:val="-6"/>
                              </w:rPr>
                              <w:pict>
                                <v:shape id="_x0000_i1032"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1E99&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0F1E99&quot; wsp:rsidP=&quot;000F1E99&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fldChar w:fldCharType="end"/>
                            </w:r>
                            <w:r>
                              <w:rPr>
                                <w:rStyle w:val="37"/>
                              </w:rPr>
                              <w:t> </w:t>
                            </w:r>
                            <w:r>
                              <w:t>with value of 0 is supported.</w:t>
                            </w:r>
                            <w:r>
                              <w:rPr>
                                <w:sz w:val="18"/>
                                <w:szCs w:val="18"/>
                              </w:rPr>
                              <w:t xml:space="preserve"> </w:t>
                            </w:r>
                          </w:p>
                          <w:p>
                            <w:pPr>
                              <w:numPr>
                                <w:ilvl w:val="1"/>
                                <w:numId w:val="6"/>
                              </w:numPr>
                              <w:tabs>
                                <w:tab w:val="left" w:pos="800"/>
                              </w:tabs>
                              <w:ind w:left="2960"/>
                              <w:rPr>
                                <w:sz w:val="18"/>
                                <w:szCs w:val="18"/>
                              </w:rPr>
                            </w:pPr>
                            <w:r>
                              <w:t>FFS:  details of signaling including granularity. </w:t>
                            </w:r>
                            <w:r>
                              <w:rPr>
                                <w:rStyle w:val="37"/>
                              </w:rPr>
                              <w:t> </w:t>
                            </w:r>
                            <w:r>
                              <w:rPr>
                                <w:strike/>
                                <w:sz w:val="18"/>
                                <w:szCs w:val="18"/>
                              </w:rPr>
                              <w:t xml:space="preserve"> </w:t>
                            </w:r>
                          </w:p>
                          <w:p>
                            <w:pPr>
                              <w:numPr>
                                <w:ilvl w:val="0"/>
                                <w:numId w:val="6"/>
                              </w:numPr>
                              <w:tabs>
                                <w:tab w:val="left" w:pos="80"/>
                              </w:tabs>
                              <w:ind w:left="2240"/>
                              <w:rPr>
                                <w:color w:val="000000"/>
                                <w:sz w:val="22"/>
                                <w:szCs w:val="22"/>
                              </w:rPr>
                            </w:pPr>
                            <w:r>
                              <w:rPr>
                                <w:rStyle w:val="37"/>
                                <w:color w:val="000000"/>
                              </w:rPr>
                              <w:fldChar w:fldCharType="begin"/>
                            </w:r>
                            <w:r>
                              <w:rPr>
                                <w:rStyle w:val="37"/>
                                <w:color w:val="000000"/>
                              </w:rPr>
                              <w:instrText xml:space="preserve"> QUOTE </w:instrText>
                            </w:r>
                            <w:r>
                              <w:rPr>
                                <w:position w:val="-6"/>
                              </w:rPr>
                              <w:pict>
                                <v:shape id="_x0000_i1033" o:spt="75" type="#_x0000_t75" style="height:13.8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54F&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DF154F&quot; wsp:rsidP=&quot;00DF154F&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Style w:val="37"/>
                                <w:color w:val="000000"/>
                              </w:rPr>
                              <w:instrText xml:space="preserve"> </w:instrText>
                            </w:r>
                            <w:r>
                              <w:rPr>
                                <w:rStyle w:val="37"/>
                                <w:color w:val="000000"/>
                              </w:rPr>
                              <w:fldChar w:fldCharType="separate"/>
                            </w:r>
                            <w:r>
                              <w:rPr>
                                <w:position w:val="-6"/>
                              </w:rPr>
                              <w:pict>
                                <v:shape id="_x0000_i1034" o:spt="75" type="#_x0000_t75" style="height:13.8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54F&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DF154F&quot; wsp:rsidP=&quot;00DF154F&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Style w:val="37"/>
                                <w:color w:val="000000"/>
                              </w:rPr>
                              <w:fldChar w:fldCharType="end"/>
                            </w:r>
                            <w:r>
                              <w:rPr>
                                <w:rStyle w:val="37"/>
                                <w:color w:val="000000"/>
                              </w:rPr>
                              <w:t> is a</w:t>
                            </w:r>
                            <w:r>
                              <w:rPr>
                                <w:color w:val="000000"/>
                              </w:rPr>
                              <w:t xml:space="preserve"> fixed offset used to calculate the timing advance.</w:t>
                            </w:r>
                            <w:r>
                              <w:rPr>
                                <w:rStyle w:val="37"/>
                                <w:color w:val="000000"/>
                              </w:rPr>
                              <w:t> </w:t>
                            </w:r>
                          </w:p>
                          <w:p>
                            <w:pPr>
                              <w:numPr>
                                <w:ilvl w:val="0"/>
                                <w:numId w:val="5"/>
                              </w:numPr>
                            </w:pPr>
                            <w:r>
                              <w:t>In addition, RAN1 has agreed the following for UE TA reporting:</w:t>
                            </w:r>
                          </w:p>
                          <w:p>
                            <w:pPr>
                              <w:ind w:left="1520"/>
                            </w:pPr>
                            <w:r>
                              <w:rPr>
                                <w:highlight w:val="green"/>
                              </w:rPr>
                              <w:t>Agreement:</w:t>
                            </w:r>
                          </w:p>
                          <w:p>
                            <w:pPr>
                              <w:ind w:left="1520"/>
                            </w:pPr>
                            <w:r>
                              <w:t>The granularity of the reported TA is slot.</w:t>
                            </w:r>
                          </w:p>
                          <w:p>
                            <w:pPr>
                              <w:numPr>
                                <w:ilvl w:val="0"/>
                                <w:numId w:val="5"/>
                              </w:numPr>
                              <w:ind w:left="2240"/>
                            </w:pPr>
                            <w:r>
                              <w:t>FFS how to round TA value to slot level granularity</w:t>
                            </w:r>
                          </w:p>
                          <w:p>
                            <w:pPr>
                              <w:numPr>
                                <w:ilvl w:val="0"/>
                                <w:numId w:val="5"/>
                              </w:numPr>
                            </w:pPr>
                            <w:r>
                              <w:t>It is up to RAN2 to decide which component or what combination of the components in the UE’s TA formula to use in TA reporting.</w:t>
                            </w:r>
                          </w:p>
                          <w:p>
                            <w:pPr>
                              <w:rPr>
                                <w:lang w:val="en-GB" w:eastAsia="zh-CN"/>
                              </w:rPr>
                            </w:pPr>
                            <w:r>
                              <w:rPr>
                                <w:highlight w:val="green"/>
                              </w:rPr>
                              <w:t>R1-2110663</w:t>
                            </w:r>
                            <w:r>
                              <w:tab/>
                            </w:r>
                            <w:r>
                              <w:t>LS on UE TA reporting</w:t>
                            </w:r>
                            <w:r>
                              <w:tab/>
                            </w:r>
                            <w:r>
                              <w:t>RAN1, Ericsson</w:t>
                            </w:r>
                          </w:p>
                        </w:txbxContent>
                      </wps:txbx>
                      <wps:bodyPr vert="horz" wrap="square" lIns="91440" tIns="45720" rIns="91440" bIns="45720" anchor="t" upright="1">
                        <a:noAutofit/>
                      </wps:bodyPr>
                    </wps:wsp>
                  </a:graphicData>
                </a:graphic>
              </wp:inline>
            </w:drawing>
          </mc:Choice>
          <mc:Fallback>
            <w:pict>
              <v:rect id="文本框 1" o:spid="_x0000_s1026" o:spt="1" style="height:717.4pt;width:481.9pt;" fillcolor="#FFFFFF" filled="t" stroked="t" coordsize="21600,21600" o:gfxdata="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dM&#10;QFjWAAAABgEAAA8AAAAAAAAAAQAgAAAAIgAAAGRycy9kb3ducmV2LnhtbFBLAQIUABQAAAAIAIdO&#10;4kDesrAYJQIAAE8EAAAOAAAAAAAAAAEAIAAAACUBAABkcnMvZTJvRG9jLnhtbFBLBQYAAAAABgAG&#10;AFkBAAC8BQAAAAA=&#10;">
                <v:fill on="t" focussize="0,0"/>
                <v:stroke color="#000000" joinstyle="miter"/>
                <v:imagedata o:title=""/>
                <o:lock v:ext="edit" aspectratio="f"/>
                <v:textbox>
                  <w:txbxContent>
                    <w:p>
                      <w:pPr>
                        <w:rPr>
                          <w:rFonts w:cs="Times"/>
                        </w:rPr>
                      </w:pPr>
                      <w:r>
                        <w:rPr>
                          <w:rFonts w:cs="Times"/>
                          <w:highlight w:val="green"/>
                        </w:rPr>
                        <w:t>Agreement:</w:t>
                      </w:r>
                    </w:p>
                    <w:p>
                      <w:pPr>
                        <w:rPr>
                          <w:rFonts w:cs="Times"/>
                        </w:rPr>
                      </w:pPr>
                      <w:r>
                        <w:rPr>
                          <w:rFonts w:cs="Times"/>
                        </w:rPr>
                        <w:t>For defining value range(s) of K_mac, down-select one option from below:</w:t>
                      </w:r>
                    </w:p>
                    <w:tbl>
                      <w:tblPr>
                        <w:tblStyle w:val="16"/>
                        <w:tblW w:w="0" w:type="auto"/>
                        <w:tblInd w:w="360" w:type="dxa"/>
                        <w:tblLayout w:type="autofit"/>
                        <w:tblCellMar>
                          <w:top w:w="0" w:type="dxa"/>
                          <w:left w:w="0" w:type="dxa"/>
                          <w:bottom w:w="0" w:type="dxa"/>
                          <w:right w:w="0" w:type="dxa"/>
                        </w:tblCellMar>
                      </w:tblPr>
                      <w:tblGrid>
                        <w:gridCol w:w="3068"/>
                        <w:gridCol w:w="3070"/>
                        <w:gridCol w:w="3053"/>
                      </w:tblGrid>
                      <w:tr>
                        <w:tblPrEx>
                          <w:tblCellMar>
                            <w:top w:w="0" w:type="dxa"/>
                            <w:left w:w="0" w:type="dxa"/>
                            <w:bottom w:w="0" w:type="dxa"/>
                            <w:right w:w="0" w:type="dxa"/>
                          </w:tblCellMar>
                        </w:tblPrEx>
                        <w:tc>
                          <w:tcPr>
                            <w:tcW w:w="3209" w:type="dxa"/>
                            <w:tcBorders>
                              <w:top w:val="single" w:color="auto" w:sz="8" w:space="0"/>
                              <w:left w:val="single" w:color="auto" w:sz="8" w:space="0"/>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Option</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Value range</w:t>
                            </w:r>
                          </w:p>
                        </w:tc>
                        <w:tc>
                          <w:tcPr>
                            <w:tcW w:w="3210" w:type="dxa"/>
                            <w:tcBorders>
                              <w:top w:val="single" w:color="auto" w:sz="8" w:space="0"/>
                              <w:left w:val="nil"/>
                              <w:bottom w:val="single" w:color="auto" w:sz="8" w:space="0"/>
                              <w:right w:val="single" w:color="auto" w:sz="8" w:space="0"/>
                            </w:tcBorders>
                            <w:shd w:val="clear" w:color="auto" w:fill="E7E6E6"/>
                            <w:noWrap w:val="0"/>
                            <w:tcMar>
                              <w:top w:w="0" w:type="dxa"/>
                              <w:left w:w="108" w:type="dxa"/>
                              <w:bottom w:w="0" w:type="dxa"/>
                              <w:right w:w="108" w:type="dxa"/>
                            </w:tcMar>
                            <w:vAlign w:val="top"/>
                          </w:tcPr>
                          <w:p>
                            <w:pPr>
                              <w:rPr>
                                <w:rFonts w:cs="Times"/>
                              </w:rPr>
                            </w:pPr>
                            <w:r>
                              <w:rPr>
                                <w:rFonts w:cs="Times"/>
                              </w:rPr>
                              <w:t>Step size</w:t>
                            </w:r>
                          </w:p>
                        </w:tc>
                      </w:tr>
                      <w:tr>
                        <w:tblPrEx>
                          <w:tblCellMar>
                            <w:top w:w="0" w:type="dxa"/>
                            <w:left w:w="0" w:type="dxa"/>
                            <w:bottom w:w="0" w:type="dxa"/>
                            <w:right w:w="0" w:type="dxa"/>
                          </w:tblCellMar>
                        </w:tblPrEx>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1: One value range of K_mac covering all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[1] – [271] ms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K_mac</w:t>
                            </w:r>
                          </w:p>
                        </w:tc>
                      </w:tr>
                      <w:tr>
                        <w:tblPrEx>
                          <w:tblCellMar>
                            <w:top w:w="0" w:type="dxa"/>
                            <w:left w:w="0" w:type="dxa"/>
                            <w:bottom w:w="0" w:type="dxa"/>
                            <w:right w:w="0" w:type="dxa"/>
                          </w:tblCellMar>
                        </w:tblPrEx>
                        <w:trPr>
                          <w:trHeight w:val="318" w:hRule="atLeast"/>
                        </w:trPr>
                        <w:tc>
                          <w:tcPr>
                            <w:tcW w:w="320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Option 2: Different value ranges of K_mac for different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LEO: [1] – [25] ms</w:t>
                            </w:r>
                          </w:p>
                          <w:p>
                            <w:pPr>
                              <w:rPr>
                                <w:rFonts w:cs="Times"/>
                              </w:rPr>
                            </w:pPr>
                            <w:r>
                              <w:rPr>
                                <w:rFonts w:cs="Times"/>
                              </w:rPr>
                              <w:t>MEO: [1] – [198] ms</w:t>
                            </w:r>
                          </w:p>
                          <w:p>
                            <w:pPr>
                              <w:rPr>
                                <w:rFonts w:cs="Times"/>
                              </w:rPr>
                            </w:pPr>
                            <w:r>
                              <w:rPr>
                                <w:rFonts w:cs="Times"/>
                              </w:rPr>
                              <w:t>GEO: [1] – [271] ms</w:t>
                            </w:r>
                          </w:p>
                          <w:p>
                            <w:pPr>
                              <w:rPr>
                                <w:rFonts w:cs="Times"/>
                              </w:rPr>
                            </w:pPr>
                            <w:r>
                              <w:rPr>
                                <w:rFonts w:cs="Times"/>
                              </w:rPr>
                              <w:t>FFS: ATG and HAPS</w:t>
                            </w:r>
                          </w:p>
                          <w:p>
                            <w:pPr>
                              <w:rPr>
                                <w:rFonts w:cs="Times"/>
                              </w:rPr>
                            </w:pPr>
                            <w:r>
                              <w:rPr>
                                <w:rFonts w:cs="Times"/>
                              </w:rPr>
                              <w:t>FFS: How to determine the scenarios</w:t>
                            </w:r>
                          </w:p>
                        </w:tc>
                        <w:tc>
                          <w:tcPr>
                            <w:tcW w:w="3210"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Same as the unit of K_mac</w:t>
                            </w:r>
                          </w:p>
                        </w:tc>
                      </w:tr>
                      <w:tr>
                        <w:tblPrEx>
                          <w:tblCellMar>
                            <w:top w:w="0" w:type="dxa"/>
                            <w:left w:w="0" w:type="dxa"/>
                            <w:bottom w:w="0" w:type="dxa"/>
                            <w:right w:w="0" w:type="dxa"/>
                          </w:tblCellMar>
                        </w:tblPrEx>
                        <w:tc>
                          <w:tcPr>
                            <w:tcW w:w="9629" w:type="dxa"/>
                            <w:gridSpan w:val="3"/>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rPr>
                                <w:rFonts w:cs="Times"/>
                              </w:rPr>
                            </w:pPr>
                            <w:r>
                              <w:rPr>
                                <w:rFonts w:cs="Times"/>
                              </w:rPr>
                              <w:t>Note 1: If deemed necessary, numbers in bracket can be further updated at RAN1#107-e.</w:t>
                            </w:r>
                          </w:p>
                          <w:p>
                            <w:pPr>
                              <w:rPr>
                                <w:rFonts w:cs="Times"/>
                              </w:rPr>
                            </w:pPr>
                            <w:r>
                              <w:rPr>
                                <w:rFonts w:cs="Times"/>
                              </w:rPr>
                              <w:t>Note 2: Note that it was agreed already that when UE is not provided by network with a K_mac value, UE assumes K_mac = 0.</w:t>
                            </w:r>
                          </w:p>
                        </w:tc>
                      </w:tr>
                    </w:tbl>
                    <w:p>
                      <w:r>
                        <w:rPr>
                          <w:highlight w:val="green"/>
                        </w:rPr>
                        <w:t>Agreement:</w:t>
                      </w:r>
                    </w:p>
                    <w:p>
                      <w:r>
                        <w:t>RAN1 to conclude the following as a basis to reply to RAN2:</w:t>
                      </w:r>
                    </w:p>
                    <w:p>
                      <w:pPr>
                        <w:numPr>
                          <w:ilvl w:val="0"/>
                          <w:numId w:val="5"/>
                        </w:numPr>
                      </w:pPr>
                      <w:r>
                        <w:t>RAN1 definition of UE’s TA is given by the following agreement:</w:t>
                      </w:r>
                    </w:p>
                    <w:p>
                      <w:pPr>
                        <w:ind w:left="1520"/>
                      </w:pPr>
                      <w:r>
                        <w:rPr>
                          <w:highlight w:val="green"/>
                        </w:rPr>
                        <w:t>Agreement:</w:t>
                      </w:r>
                    </w:p>
                    <w:p>
                      <w:pPr>
                        <w:ind w:left="1520"/>
                        <w:rPr>
                          <w:color w:val="000000"/>
                          <w:sz w:val="18"/>
                          <w:szCs w:val="18"/>
                        </w:rPr>
                      </w:pPr>
                      <w:r>
                        <w:rPr>
                          <w:color w:val="000000"/>
                        </w:rPr>
                        <w:t>The Timing Advance applied by an NR NTN UE in</w:t>
                      </w:r>
                      <w:r>
                        <w:rPr>
                          <w:rStyle w:val="37"/>
                          <w:color w:val="000000"/>
                        </w:rPr>
                        <w:t> </w:t>
                      </w:r>
                      <w:r>
                        <w:rPr>
                          <w:color w:val="000000"/>
                        </w:rPr>
                        <w:t>RRC_IDLE/INACTIVE and RRC_CONNECTED</w:t>
                      </w:r>
                      <w:r>
                        <w:rPr>
                          <w:rStyle w:val="37"/>
                          <w:color w:val="000000"/>
                        </w:rPr>
                        <w:t> </w:t>
                      </w:r>
                      <w:r>
                        <w:rPr>
                          <w:color w:val="000000"/>
                        </w:rPr>
                        <w:t>is given by:</w:t>
                      </w:r>
                    </w:p>
                    <w:p>
                      <w:pPr>
                        <w:ind w:left="1520"/>
                        <w:jc w:val="center"/>
                        <w:rPr>
                          <w:color w:val="000000"/>
                          <w:sz w:val="18"/>
                          <w:szCs w:val="18"/>
                        </w:rPr>
                      </w:pPr>
                      <m:oMathPara>
                        <m:oMath>
                          <m:sSub>
                            <m:sSubPr>
                              <m:ctrlPr>
                                <w:rPr>
                                  <w:rFonts w:ascii="Cambria Math" w:hAnsi="Cambria Math" w:eastAsia="Calibri" w:cs="Calibri"/>
                                  <w:sz w:val="22"/>
                                  <w:szCs w:val="22"/>
                                </w:rPr>
                              </m:ctrlPr>
                            </m:sSubPr>
                            <m:e>
                              <m:r>
                                <m:rPr>
                                  <m:sty m:val="p"/>
                                </m:rPr>
                                <w:rPr>
                                  <w:rFonts w:ascii="Cambria Math" w:hAnsi="Cambria Math"/>
                                </w:rPr>
                                <m:t>T</m:t>
                              </m:r>
                              <m:ctrlPr>
                                <w:rPr>
                                  <w:rFonts w:ascii="Cambria Math" w:hAnsi="Cambria Math" w:eastAsia="Calibri" w:cs="Calibri"/>
                                  <w:sz w:val="22"/>
                                  <w:szCs w:val="22"/>
                                </w:rPr>
                              </m:ctrlPr>
                            </m:e>
                            <m:sub>
                              <m:r>
                                <m:rPr>
                                  <m:sty m:val="p"/>
                                </m:rPr>
                                <w:rPr>
                                  <w:rFonts w:ascii="Cambria Math" w:hAnsi="Cambria Math"/>
                                </w:rPr>
                                <m:t>TA</m:t>
                              </m:r>
                              <m:ctrlPr>
                                <w:rPr>
                                  <w:rFonts w:ascii="Cambria Math" w:hAnsi="Cambria Math" w:eastAsia="Calibri" w:cs="Calibri"/>
                                  <w:sz w:val="22"/>
                                  <w:szCs w:val="22"/>
                                </w:rPr>
                              </m:ctrlPr>
                            </m:sub>
                          </m:sSub>
                          <m:r>
                            <m:rPr>
                              <m:sty m:val="p"/>
                            </m:rPr>
                            <w:rPr>
                              <w:rFonts w:ascii="Cambria Math" w:hAnsi="Cambria Math"/>
                            </w:rPr>
                            <m:t>=</m:t>
                          </m:r>
                          <m:d>
                            <m:dPr>
                              <m:ctrlPr>
                                <w:rPr>
                                  <w:rFonts w:ascii="Cambria Math" w:hAnsi="Cambria Math" w:eastAsia="Calibri" w:cs="Calibri"/>
                                  <w:sz w:val="22"/>
                                  <w:szCs w:val="22"/>
                                </w:rPr>
                              </m:ctrlPr>
                            </m:dPr>
                            <m:e>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 UE−specific</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TA,common</m:t>
                                  </m:r>
                                  <m:ctrlPr>
                                    <w:rPr>
                                      <w:rFonts w:ascii="Cambria Math" w:hAnsi="Cambria Math" w:eastAsia="Calibri" w:cs="Calibri"/>
                                      <w:sz w:val="22"/>
                                      <w:szCs w:val="22"/>
                                    </w:rPr>
                                  </m:ctrlPr>
                                </m:sub>
                              </m:sSub>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N</m:t>
                                  </m:r>
                                  <m:ctrlPr>
                                    <w:rPr>
                                      <w:rFonts w:ascii="Cambria Math" w:hAnsi="Cambria Math" w:eastAsia="Calibri" w:cs="Calibri"/>
                                      <w:sz w:val="22"/>
                                      <w:szCs w:val="22"/>
                                    </w:rPr>
                                  </m:ctrlPr>
                                </m:e>
                                <m:sub>
                                  <m:r>
                                    <m:rPr>
                                      <m:sty m:val="p"/>
                                    </m:rPr>
                                    <w:rPr>
                                      <w:rFonts w:ascii="Cambria Math" w:hAnsi="Cambria Math"/>
                                    </w:rPr>
                                    <m:t>TA,offset</m:t>
                                  </m:r>
                                  <m:ctrlPr>
                                    <w:rPr>
                                      <w:rFonts w:ascii="Cambria Math" w:hAnsi="Cambria Math" w:eastAsia="Calibri" w:cs="Calibri"/>
                                      <w:sz w:val="22"/>
                                      <w:szCs w:val="22"/>
                                    </w:rPr>
                                  </m:ctrlPr>
                                </m:sub>
                              </m:sSub>
                              <m:ctrlPr>
                                <w:rPr>
                                  <w:rFonts w:ascii="Cambria Math" w:hAnsi="Cambria Math" w:eastAsia="Calibri" w:cs="Calibri"/>
                                  <w:sz w:val="22"/>
                                  <w:szCs w:val="22"/>
                                </w:rPr>
                              </m:ctrlPr>
                            </m:e>
                          </m:d>
                          <m:r>
                            <m:rPr>
                              <m:sty m:val="p"/>
                            </m:rPr>
                            <w:rPr>
                              <w:rFonts w:ascii="Cambria Math" w:hAnsi="Cambria Math"/>
                            </w:rPr>
                            <m:t>×</m:t>
                          </m:r>
                          <m:sSub>
                            <m:sSubPr>
                              <m:ctrlPr>
                                <w:rPr>
                                  <w:rFonts w:ascii="Cambria Math" w:hAnsi="Cambria Math" w:eastAsia="Calibri" w:cs="Calibri"/>
                                  <w:sz w:val="22"/>
                                  <w:szCs w:val="22"/>
                                </w:rPr>
                              </m:ctrlPr>
                            </m:sSubPr>
                            <m:e>
                              <m:r>
                                <m:rPr>
                                  <m:sty m:val="p"/>
                                </m:rPr>
                                <w:rPr>
                                  <w:rFonts w:ascii="Cambria Math" w:hAnsi="Cambria Math"/>
                                </w:rPr>
                                <m:t>T</m:t>
                              </m:r>
                              <m:ctrlPr>
                                <w:rPr>
                                  <w:rFonts w:ascii="Cambria Math" w:hAnsi="Cambria Math" w:eastAsia="Calibri" w:cs="Calibri"/>
                                  <w:sz w:val="22"/>
                                  <w:szCs w:val="22"/>
                                </w:rPr>
                              </m:ctrlPr>
                            </m:e>
                            <m:sub>
                              <m:r>
                                <m:rPr>
                                  <m:sty m:val="p"/>
                                </m:rPr>
                                <w:rPr>
                                  <w:rFonts w:ascii="Cambria Math" w:hAnsi="Cambria Math"/>
                                </w:rPr>
                                <m:t>c</m:t>
                              </m:r>
                              <m:ctrlPr>
                                <w:rPr>
                                  <w:rFonts w:ascii="Cambria Math" w:hAnsi="Cambria Math" w:eastAsia="Calibri" w:cs="Calibri"/>
                                  <w:sz w:val="22"/>
                                  <w:szCs w:val="22"/>
                                </w:rPr>
                              </m:ctrlPr>
                            </m:sub>
                          </m:sSub>
                        </m:oMath>
                      </m:oMathPara>
                    </w:p>
                    <w:p>
                      <w:pPr>
                        <w:ind w:left="1520"/>
                        <w:rPr>
                          <w:color w:val="000000"/>
                          <w:sz w:val="18"/>
                          <w:szCs w:val="18"/>
                          <w:lang w:val="fr-FR"/>
                        </w:rPr>
                      </w:pPr>
                      <w:r>
                        <w:rPr>
                          <w:color w:val="000000"/>
                        </w:rPr>
                        <w:t>Where:</w:t>
                      </w:r>
                    </w:p>
                    <w:p>
                      <w:pPr>
                        <w:numPr>
                          <w:ilvl w:val="0"/>
                          <w:numId w:val="6"/>
                        </w:numPr>
                        <w:tabs>
                          <w:tab w:val="left" w:pos="80"/>
                        </w:tabs>
                        <w:ind w:left="2240"/>
                        <w:rPr>
                          <w:color w:val="000000"/>
                          <w:sz w:val="18"/>
                          <w:szCs w:val="18"/>
                          <w:lang w:val="en-US"/>
                        </w:rPr>
                      </w:pPr>
                      <w:r>
                        <w:rPr>
                          <w:rStyle w:val="37"/>
                          <w:color w:val="000000"/>
                          <w:sz w:val="18"/>
                          <w:szCs w:val="18"/>
                        </w:rPr>
                        <w:fldChar w:fldCharType="begin"/>
                      </w:r>
                      <w:r>
                        <w:rPr>
                          <w:rStyle w:val="37"/>
                          <w:color w:val="000000"/>
                          <w:sz w:val="18"/>
                          <w:szCs w:val="18"/>
                        </w:rPr>
                        <w:instrText xml:space="preserve"> QUOTE </w:instrText>
                      </w:r>
                      <w:r>
                        <w:rPr>
                          <w:position w:val="-5"/>
                        </w:rPr>
                        <w:pict>
                          <v:shape id="_x0000_i1025" o:spt="75" type="#_x0000_t75" style="height:12.6pt;width:1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0FFD&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E80FFD&quot; wsp:rsidP=&quot;00E80FFD&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Style w:val="37"/>
                          <w:color w:val="000000"/>
                          <w:sz w:val="18"/>
                          <w:szCs w:val="18"/>
                        </w:rPr>
                        <w:instrText xml:space="preserve"> </w:instrText>
                      </w:r>
                      <w:r>
                        <w:rPr>
                          <w:rStyle w:val="37"/>
                          <w:color w:val="000000"/>
                          <w:sz w:val="18"/>
                          <w:szCs w:val="18"/>
                        </w:rPr>
                        <w:fldChar w:fldCharType="separate"/>
                      </w:r>
                      <w:r>
                        <w:rPr>
                          <w:position w:val="-5"/>
                        </w:rPr>
                        <w:pict>
                          <v:shape id="_x0000_i1026" o:spt="75" type="#_x0000_t75" style="height:12.6pt;width:1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0FFD&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E80FFD&quot; wsp:rsidP=&quot;00E80FFD&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Style w:val="37"/>
                          <w:color w:val="000000"/>
                          <w:sz w:val="18"/>
                          <w:szCs w:val="18"/>
                        </w:rPr>
                        <w:fldChar w:fldCharType="end"/>
                      </w:r>
                      <w:r>
                        <w:rPr>
                          <w:rStyle w:val="37"/>
                          <w:color w:val="000000"/>
                          <w:sz w:val="18"/>
                          <w:szCs w:val="18"/>
                        </w:rPr>
                        <w:t> </w:t>
                      </w:r>
                      <w:r>
                        <w:rPr>
                          <w:i/>
                          <w:iCs/>
                          <w:color w:val="000000"/>
                          <w:sz w:val="18"/>
                          <w:szCs w:val="18"/>
                        </w:rPr>
                        <w:t> </w:t>
                      </w:r>
                      <w:r>
                        <w:rPr>
                          <w:color w:val="000000"/>
                        </w:rPr>
                        <w:t>is defined as 0 for PRACH and updated based on TA Command field in msg2/msgB and MAC CE TA command.</w:t>
                      </w:r>
                      <w:r>
                        <w:rPr>
                          <w:color w:val="000000"/>
                          <w:sz w:val="18"/>
                          <w:szCs w:val="18"/>
                        </w:rPr>
                        <w:t xml:space="preserve"> </w:t>
                      </w:r>
                    </w:p>
                    <w:p>
                      <w:pPr>
                        <w:numPr>
                          <w:ilvl w:val="1"/>
                          <w:numId w:val="6"/>
                        </w:numPr>
                        <w:tabs>
                          <w:tab w:val="left" w:pos="800"/>
                        </w:tabs>
                        <w:ind w:left="2960"/>
                        <w:rPr>
                          <w:sz w:val="18"/>
                          <w:szCs w:val="18"/>
                        </w:rPr>
                      </w:pPr>
                      <w:r>
                        <w:t>FFS: details of</w:t>
                      </w:r>
                      <w:r>
                        <w:rPr>
                          <w:rStyle w:val="37"/>
                        </w:rPr>
                        <w:t> </w:t>
                      </w:r>
                      <w:r>
                        <w:t>N</w:t>
                      </w:r>
                      <w:r>
                        <w:rPr>
                          <w:vertAlign w:val="subscript"/>
                        </w:rPr>
                        <w:t>TA</w:t>
                      </w:r>
                      <w:r>
                        <w:rPr>
                          <w:rStyle w:val="37"/>
                        </w:rPr>
                        <w:t> </w:t>
                      </w:r>
                      <w:r>
                        <w:t>update/accumulation.</w:t>
                      </w:r>
                    </w:p>
                    <w:p>
                      <w:pPr>
                        <w:numPr>
                          <w:ilvl w:val="0"/>
                          <w:numId w:val="6"/>
                        </w:numPr>
                        <w:tabs>
                          <w:tab w:val="left" w:pos="80"/>
                        </w:tabs>
                        <w:ind w:left="2240"/>
                        <w:rPr>
                          <w:sz w:val="18"/>
                          <w:szCs w:val="18"/>
                        </w:rPr>
                      </w:pPr>
                      <w:r>
                        <w:fldChar w:fldCharType="begin"/>
                      </w:r>
                      <w:r>
                        <w:instrText xml:space="preserve"> QUOTE </w:instrText>
                      </w:r>
                      <w:r>
                        <w:rPr>
                          <w:position w:val="-8"/>
                        </w:rPr>
                        <w:pict>
                          <v:shape id="_x0000_i1027" o:spt="75" type="#_x0000_t75" style="height:14.4pt;width:53.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1DF8&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9E1DF8&quot; wsp:rsidP=&quot;009E1DF8&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8"/>
                        </w:rPr>
                        <w:pict>
                          <v:shape id="_x0000_i1028" o:spt="75" type="#_x0000_t75" style="height:14.4pt;width:53.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1DF8&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9E1DF8&quot; wsp:rsidP=&quot;009E1DF8&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is UE self-estimated TA to pre-compensate for the service link delay.</w:t>
                      </w:r>
                    </w:p>
                    <w:p>
                      <w:pPr>
                        <w:numPr>
                          <w:ilvl w:val="0"/>
                          <w:numId w:val="6"/>
                        </w:numPr>
                        <w:tabs>
                          <w:tab w:val="left" w:pos="80"/>
                        </w:tabs>
                        <w:ind w:left="2240"/>
                        <w:rPr>
                          <w:sz w:val="18"/>
                          <w:szCs w:val="18"/>
                        </w:rPr>
                      </w:pPr>
                      <w:r>
                        <w:rPr>
                          <w:rStyle w:val="37"/>
                        </w:rPr>
                        <w:fldChar w:fldCharType="begin"/>
                      </w:r>
                      <w:r>
                        <w:rPr>
                          <w:rStyle w:val="37"/>
                        </w:rPr>
                        <w:instrText xml:space="preserve"> QUOTE </w:instrText>
                      </w:r>
                      <w:r>
                        <w:rPr>
                          <w:position w:val="-6"/>
                        </w:rPr>
                        <w:pict>
                          <v:shape id="_x0000_i1029"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391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793913&quot; wsp:rsidP=&quot;00793913&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instrText xml:space="preserve"> </w:instrText>
                      </w:r>
                      <w:r>
                        <w:rPr>
                          <w:rStyle w:val="37"/>
                        </w:rPr>
                        <w:fldChar w:fldCharType="separate"/>
                      </w:r>
                      <w:r>
                        <w:rPr>
                          <w:position w:val="-6"/>
                        </w:rPr>
                        <w:pict>
                          <v:shape id="_x0000_i1030"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391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793913&quot; wsp:rsidP=&quot;00793913&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fldChar w:fldCharType="end"/>
                      </w:r>
                      <w:r>
                        <w:rPr>
                          <w:rStyle w:val="37"/>
                        </w:rPr>
                        <w:t> </w:t>
                      </w:r>
                      <w:r>
                        <w:t>is network-controlled common TA, and may</w:t>
                      </w:r>
                      <w:r>
                        <w:rPr>
                          <w:rStyle w:val="37"/>
                        </w:rPr>
                        <w:t> </w:t>
                      </w:r>
                      <w:r>
                        <w:t>include any timing offset considered necessary by the network.</w:t>
                      </w:r>
                    </w:p>
                    <w:p>
                      <w:pPr>
                        <w:numPr>
                          <w:ilvl w:val="0"/>
                          <w:numId w:val="6"/>
                        </w:numPr>
                        <w:tabs>
                          <w:tab w:val="left" w:pos="80"/>
                        </w:tabs>
                        <w:ind w:left="2240"/>
                        <w:rPr>
                          <w:sz w:val="18"/>
                          <w:szCs w:val="18"/>
                        </w:rPr>
                      </w:pPr>
                      <w:r>
                        <w:rPr>
                          <w:rStyle w:val="37"/>
                        </w:rPr>
                        <w:fldChar w:fldCharType="begin"/>
                      </w:r>
                      <w:r>
                        <w:rPr>
                          <w:rStyle w:val="37"/>
                        </w:rPr>
                        <w:instrText xml:space="preserve"> QUOTE </w:instrText>
                      </w:r>
                      <w:r>
                        <w:rPr>
                          <w:position w:val="-6"/>
                        </w:rPr>
                        <w:pict>
                          <v:shape id="_x0000_i1031"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1E99&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0F1E99&quot; wsp:rsidP=&quot;000F1E99&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instrText xml:space="preserve"> </w:instrText>
                      </w:r>
                      <w:r>
                        <w:rPr>
                          <w:rStyle w:val="37"/>
                        </w:rPr>
                        <w:fldChar w:fldCharType="separate"/>
                      </w:r>
                      <w:r>
                        <w:rPr>
                          <w:position w:val="-6"/>
                        </w:rPr>
                        <w:pict>
                          <v:shape id="_x0000_i1032" o:spt="75" type="#_x0000_t75" style="height:13.8pt;width:4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1E99&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0F1E99&quot; wsp:rsidP=&quot;000F1E99&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Style w:val="37"/>
                        </w:rPr>
                        <w:fldChar w:fldCharType="end"/>
                      </w:r>
                      <w:r>
                        <w:rPr>
                          <w:rStyle w:val="37"/>
                        </w:rPr>
                        <w:t> </w:t>
                      </w:r>
                      <w:r>
                        <w:t>with value of 0 is supported.</w:t>
                      </w:r>
                      <w:r>
                        <w:rPr>
                          <w:sz w:val="18"/>
                          <w:szCs w:val="18"/>
                        </w:rPr>
                        <w:t xml:space="preserve"> </w:t>
                      </w:r>
                    </w:p>
                    <w:p>
                      <w:pPr>
                        <w:numPr>
                          <w:ilvl w:val="1"/>
                          <w:numId w:val="6"/>
                        </w:numPr>
                        <w:tabs>
                          <w:tab w:val="left" w:pos="800"/>
                        </w:tabs>
                        <w:ind w:left="2960"/>
                        <w:rPr>
                          <w:sz w:val="18"/>
                          <w:szCs w:val="18"/>
                        </w:rPr>
                      </w:pPr>
                      <w:r>
                        <w:t>FFS:  details of signaling including granularity. </w:t>
                      </w:r>
                      <w:r>
                        <w:rPr>
                          <w:rStyle w:val="37"/>
                        </w:rPr>
                        <w:t> </w:t>
                      </w:r>
                      <w:r>
                        <w:rPr>
                          <w:strike/>
                          <w:sz w:val="18"/>
                          <w:szCs w:val="18"/>
                        </w:rPr>
                        <w:t xml:space="preserve"> </w:t>
                      </w:r>
                    </w:p>
                    <w:p>
                      <w:pPr>
                        <w:numPr>
                          <w:ilvl w:val="0"/>
                          <w:numId w:val="6"/>
                        </w:numPr>
                        <w:tabs>
                          <w:tab w:val="left" w:pos="80"/>
                        </w:tabs>
                        <w:ind w:left="2240"/>
                        <w:rPr>
                          <w:color w:val="000000"/>
                          <w:sz w:val="22"/>
                          <w:szCs w:val="22"/>
                        </w:rPr>
                      </w:pPr>
                      <w:r>
                        <w:rPr>
                          <w:rStyle w:val="37"/>
                          <w:color w:val="000000"/>
                        </w:rPr>
                        <w:fldChar w:fldCharType="begin"/>
                      </w:r>
                      <w:r>
                        <w:rPr>
                          <w:rStyle w:val="37"/>
                          <w:color w:val="000000"/>
                        </w:rPr>
                        <w:instrText xml:space="preserve"> QUOTE </w:instrText>
                      </w:r>
                      <w:r>
                        <w:rPr>
                          <w:position w:val="-6"/>
                        </w:rPr>
                        <w:pict>
                          <v:shape id="_x0000_i1033" o:spt="75" type="#_x0000_t75" style="height:13.8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54F&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DF154F&quot; wsp:rsidP=&quot;00DF154F&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Style w:val="37"/>
                          <w:color w:val="000000"/>
                        </w:rPr>
                        <w:instrText xml:space="preserve"> </w:instrText>
                      </w:r>
                      <w:r>
                        <w:rPr>
                          <w:rStyle w:val="37"/>
                          <w:color w:val="000000"/>
                        </w:rPr>
                        <w:fldChar w:fldCharType="separate"/>
                      </w:r>
                      <w:r>
                        <w:rPr>
                          <w:position w:val="-6"/>
                        </w:rPr>
                        <w:pict>
                          <v:shape id="_x0000_i1034" o:spt="75" type="#_x0000_t75" style="height:13.8pt;width:34.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16&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36173&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611B&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40E94&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0D78&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6417&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23D60&quot;/&gt;&lt;wsp:rsid wsp:val=&quot;00634F8B&quot;/&gt;&lt;wsp:rsid wsp:val=&quot;006350E5&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3302C&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1656&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B2997&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B0DFF&quot;/&gt;&lt;wsp:rsid wsp:val=&quot;00BD1A19&quot;/&gt;&lt;wsp:rsid wsp:val=&quot;00BE7564&quot;/&gt;&lt;wsp:rsid wsp:val=&quot;00BF1F78&quot;/&gt;&lt;wsp:rsid wsp:val=&quot;00BF5892&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08D5&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92B35&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562B2&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54F&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41D6B&quot;/&gt;&lt;wsp:rsid wsp:val=&quot;00F508D9&quot;/&gt;&lt;wsp:rsid wsp:val=&quot;00F52B54&quot;/&gt;&lt;wsp:rsid wsp:val=&quot;00F56B1E&quot;/&gt;&lt;wsp:rsid wsp:val=&quot;00F673CB&quot;/&gt;&lt;wsp:rsid wsp:val=&quot;00F724AE&quot;/&gt;&lt;wsp:rsid wsp:val=&quot;00F7565D&quot;/&gt;&lt;wsp:rsid wsp:val=&quot;00F91C1E&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DF154F&quot; wsp:rsidP=&quot;00DF154F&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Style w:val="37"/>
                          <w:color w:val="000000"/>
                        </w:rPr>
                        <w:fldChar w:fldCharType="end"/>
                      </w:r>
                      <w:r>
                        <w:rPr>
                          <w:rStyle w:val="37"/>
                          <w:color w:val="000000"/>
                        </w:rPr>
                        <w:t> is a</w:t>
                      </w:r>
                      <w:r>
                        <w:rPr>
                          <w:color w:val="000000"/>
                        </w:rPr>
                        <w:t xml:space="preserve"> fixed offset used to calculate the timing advance.</w:t>
                      </w:r>
                      <w:r>
                        <w:rPr>
                          <w:rStyle w:val="37"/>
                          <w:color w:val="000000"/>
                        </w:rPr>
                        <w:t> </w:t>
                      </w:r>
                    </w:p>
                    <w:p>
                      <w:pPr>
                        <w:numPr>
                          <w:ilvl w:val="0"/>
                          <w:numId w:val="5"/>
                        </w:numPr>
                      </w:pPr>
                      <w:r>
                        <w:t>In addition, RAN1 has agreed the following for UE TA reporting:</w:t>
                      </w:r>
                    </w:p>
                    <w:p>
                      <w:pPr>
                        <w:ind w:left="1520"/>
                      </w:pPr>
                      <w:r>
                        <w:rPr>
                          <w:highlight w:val="green"/>
                        </w:rPr>
                        <w:t>Agreement:</w:t>
                      </w:r>
                    </w:p>
                    <w:p>
                      <w:pPr>
                        <w:ind w:left="1520"/>
                      </w:pPr>
                      <w:r>
                        <w:t>The granularity of the reported TA is slot.</w:t>
                      </w:r>
                    </w:p>
                    <w:p>
                      <w:pPr>
                        <w:numPr>
                          <w:ilvl w:val="0"/>
                          <w:numId w:val="5"/>
                        </w:numPr>
                        <w:ind w:left="2240"/>
                      </w:pPr>
                      <w:r>
                        <w:t>FFS how to round TA value to slot level granularity</w:t>
                      </w:r>
                    </w:p>
                    <w:p>
                      <w:pPr>
                        <w:numPr>
                          <w:ilvl w:val="0"/>
                          <w:numId w:val="5"/>
                        </w:numPr>
                      </w:pPr>
                      <w:r>
                        <w:t>It is up to RAN2 to decide which component or what combination of the components in the UE’s TA formula to use in TA reporting.</w:t>
                      </w:r>
                    </w:p>
                    <w:p>
                      <w:pPr>
                        <w:rPr>
                          <w:lang w:val="en-GB" w:eastAsia="zh-CN"/>
                        </w:rPr>
                      </w:pPr>
                      <w:r>
                        <w:rPr>
                          <w:highlight w:val="green"/>
                        </w:rPr>
                        <w:t>R1-2110663</w:t>
                      </w:r>
                      <w:r>
                        <w:tab/>
                      </w:r>
                      <w:r>
                        <w:t>LS on UE TA reporting</w:t>
                      </w:r>
                      <w:r>
                        <w:tab/>
                      </w:r>
                      <w:r>
                        <w:t>RAN1, Ericsson</w:t>
                      </w:r>
                    </w:p>
                  </w:txbxContent>
                </v:textbox>
                <w10:wrap type="none"/>
                <w10:anchorlock/>
              </v:rect>
            </w:pict>
          </mc:Fallback>
        </mc:AlternateContent>
      </w:r>
    </w:p>
    <w:p>
      <w:r>
        <w:t xml:space="preserve">In this contribution, we provide some further considerations on </w:t>
      </w:r>
      <w:r>
        <w:rPr>
          <w:lang w:eastAsia="zh-CN"/>
        </w:rPr>
        <w:t>timing relationship</w:t>
      </w:r>
      <w:r>
        <w:t xml:space="preserve"> enhancement for NTN.</w:t>
      </w:r>
    </w:p>
    <w:p/>
    <w:p>
      <w:pPr>
        <w:pStyle w:val="2"/>
      </w:pPr>
      <w:bookmarkStart w:id="5" w:name="_Ref129681832"/>
      <w:r>
        <w:rPr>
          <w:kern w:val="2"/>
          <w:lang w:eastAsia="zh-CN"/>
        </w:rPr>
        <w:t>Discussion on timing relationship enhancement for NTN</w:t>
      </w:r>
    </w:p>
    <w:p>
      <w:pPr>
        <w:pStyle w:val="3"/>
        <w:outlineLvl w:val="1"/>
      </w:pPr>
      <w:r>
        <w:rPr>
          <w:rFonts w:hint="eastAsia"/>
          <w:lang w:val="en-US" w:eastAsia="zh-CN"/>
        </w:rPr>
        <w:t xml:space="preserve">Update of cell specific </w:t>
      </w:r>
      <w:r>
        <w:rPr>
          <w:lang w:eastAsia="zh-CN"/>
        </w:rPr>
        <w:t>K_offset</w:t>
      </w:r>
    </w:p>
    <w:p>
      <w:pPr>
        <w:rPr>
          <w:rFonts w:hint="default"/>
          <w:lang w:val="en-US" w:eastAsia="zh-CN"/>
        </w:rPr>
      </w:pPr>
    </w:p>
    <w:p>
      <w:pPr>
        <w:rPr>
          <w:rFonts w:hint="eastAsia"/>
          <w:lang w:val="en-US" w:eastAsia="zh-CN"/>
        </w:rPr>
      </w:pPr>
      <w:r>
        <w:rPr>
          <w:rFonts w:hint="eastAsia"/>
          <w:lang w:val="en-US" w:eastAsia="zh-CN"/>
        </w:rPr>
        <w:t>In 106bis-e, the following observations was given by [Moderator] in the Feature lead summary[2]:</w:t>
      </w:r>
    </w:p>
    <w:p>
      <w:pPr>
        <w:rPr>
          <w:lang w:eastAsia="zh-CN"/>
        </w:rPr>
      </w:pPr>
    </w:p>
    <w:p>
      <w:pPr>
        <w:rPr>
          <w:lang w:eastAsia="zh-CN"/>
        </w:rPr>
      </w:pPr>
      <w:r>
        <w:rPr>
          <w:lang w:eastAsia="zh-CN"/>
        </w:rPr>
        <mc:AlternateContent>
          <mc:Choice Requires="wps">
            <w:drawing>
              <wp:inline distT="0" distB="0" distL="0" distR="0">
                <wp:extent cx="6120130" cy="5018405"/>
                <wp:effectExtent l="4445" t="4445" r="17145" b="6350"/>
                <wp:docPr id="2" name="文本框 8"/>
                <wp:cNvGraphicFramePr/>
                <a:graphic xmlns:a="http://schemas.openxmlformats.org/drawingml/2006/main">
                  <a:graphicData uri="http://schemas.microsoft.com/office/word/2010/wordprocessingShape">
                    <wps:wsp>
                      <wps:cNvSpPr/>
                      <wps:spPr>
                        <a:xfrm>
                          <a:off x="0" y="0"/>
                          <a:ext cx="6120130" cy="5018405"/>
                        </a:xfrm>
                        <a:prstGeom prst="rect">
                          <a:avLst/>
                        </a:prstGeom>
                        <a:solidFill>
                          <a:srgbClr val="FFFFFF"/>
                        </a:solidFill>
                        <a:ln w="9525" cap="flat" cmpd="sng">
                          <a:solidFill>
                            <a:srgbClr val="000000"/>
                          </a:solidFill>
                          <a:prstDash val="solid"/>
                          <a:miter/>
                        </a:ln>
                      </wps:spPr>
                      <wps:txbx>
                        <w:txbxContent>
                          <w:p>
                            <w:pPr>
                              <w:rPr>
                                <w:rFonts w:ascii="Arial" w:hAnsi="Arial" w:cs="Arial"/>
                                <w:lang w:eastAsia="ja-JP"/>
                              </w:rPr>
                            </w:pPr>
                            <w:r>
                              <w:rPr>
                                <w:rFonts w:ascii="Arial" w:hAnsi="Arial" w:cs="Arial"/>
                                <w:lang w:eastAsia="ja-JP"/>
                              </w:rPr>
                              <w:t>Regarding the ambiguity issue originally pointed out by [CAICT]:</w:t>
                            </w:r>
                          </w:p>
                          <w:p>
                            <w:pPr>
                              <w:pStyle w:val="31"/>
                              <w:numPr>
                                <w:ilvl w:val="0"/>
                                <w:numId w:val="7"/>
                              </w:numPr>
                              <w:rPr>
                                <w:rFonts w:ascii="Arial" w:hAnsi="Arial" w:cs="Arial"/>
                                <w:lang w:eastAsia="ja-JP"/>
                              </w:rPr>
                            </w:pPr>
                            <w:r>
                              <w:rPr>
                                <w:rFonts w:ascii="Arial" w:hAnsi="Arial" w:cs="Arial"/>
                                <w:lang w:val="en-US" w:eastAsia="ja-JP"/>
                              </w:rPr>
                              <w:t>[Moderator] According to the figure below, the claimed “ambiguity period” between RTT_min and RTT_max does not appear to be true.</w:t>
                            </w:r>
                          </w:p>
                          <w:p>
                            <w:pPr>
                              <w:jc w:val="center"/>
                              <w:rPr>
                                <w:rFonts w:ascii="Arial" w:hAnsi="Arial" w:cs="Arial"/>
                                <w:lang w:eastAsia="ja-JP"/>
                              </w:rPr>
                            </w:pPr>
                            <w:r>
                              <w:drawing>
                                <wp:inline distT="0" distB="0" distL="0" distR="0">
                                  <wp:extent cx="4540885" cy="2707005"/>
                                  <wp:effectExtent l="0" t="0" r="63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9"/>
                                          <a:stretch>
                                            <a:fillRect/>
                                          </a:stretch>
                                        </pic:blipFill>
                                        <pic:spPr>
                                          <a:xfrm>
                                            <a:off x="0" y="0"/>
                                            <a:ext cx="4540885" cy="2707005"/>
                                          </a:xfrm>
                                          <a:prstGeom prst="rect">
                                            <a:avLst/>
                                          </a:prstGeom>
                                        </pic:spPr>
                                      </pic:pic>
                                    </a:graphicData>
                                  </a:graphic>
                                </wp:inline>
                              </w:drawing>
                            </w:r>
                          </w:p>
                          <w:p>
                            <w:pPr>
                              <w:rPr>
                                <w:rFonts w:ascii="Arial" w:hAnsi="Arial" w:cs="Arial"/>
                                <w:lang w:eastAsia="ja-JP"/>
                              </w:rPr>
                            </w:pPr>
                            <w:r>
                              <w:rPr>
                                <w:rFonts w:ascii="Arial" w:hAnsi="Arial" w:cs="Arial"/>
                                <w:lang w:eastAsia="ja-JP"/>
                              </w:rPr>
                              <w:t>Regarding UE processing time pointed out by [Nokia/NSB]:</w:t>
                            </w:r>
                          </w:p>
                          <w:p>
                            <w:pPr>
                              <w:pStyle w:val="31"/>
                              <w:numPr>
                                <w:ilvl w:val="0"/>
                                <w:numId w:val="7"/>
                              </w:numPr>
                              <w:rPr>
                                <w:rFonts w:ascii="Arial" w:hAnsi="Arial" w:cs="Arial"/>
                                <w:lang w:val="en-GB" w:eastAsia="zh-CN"/>
                              </w:rPr>
                            </w:pPr>
                            <w:r>
                              <w:rPr>
                                <w:rFonts w:ascii="Arial" w:hAnsi="Arial" w:cs="Arial"/>
                                <w:lang w:val="en-US" w:eastAsia="ja-JP"/>
                              </w:rPr>
                              <w:t>[Moderator] As pointed out by [MediaTek], “</w:t>
                            </w:r>
                            <w:r>
                              <w:rPr>
                                <w:rFonts w:ascii="Arial" w:hAnsi="Arial" w:cs="Arial"/>
                                <w:i/>
                                <w:iCs/>
                                <w:lang w:val="en-US" w:eastAsia="ja-JP"/>
                              </w:rPr>
                              <w:t>This SI procedure is well established in cellular and we see no difference for NTN-specific parameters indicated on SIB.</w:t>
                            </w:r>
                            <w:r>
                              <w:rPr>
                                <w:rFonts w:ascii="Arial" w:hAnsi="Arial" w:cs="Arial"/>
                                <w:lang w:val="en-US" w:eastAsia="ja-JP"/>
                              </w:rPr>
                              <w:t>” Indeed, the issue appears not to be fundamentally different from the update of other information in system information. For example, network may update even more fundamental configuration such as PDCCH configuration information in SIB1, but that does not appear to be an issue.</w:t>
                            </w:r>
                          </w:p>
                        </w:txbxContent>
                      </wps:txbx>
                      <wps:bodyPr vert="horz" wrap="square" lIns="91440" tIns="45720" rIns="91440" bIns="45720" anchor="t" upright="1">
                        <a:noAutofit/>
                      </wps:bodyPr>
                    </wps:wsp>
                  </a:graphicData>
                </a:graphic>
              </wp:inline>
            </w:drawing>
          </mc:Choice>
          <mc:Fallback>
            <w:pict>
              <v:rect id="文本框 8" o:spid="_x0000_s1026" o:spt="1" style="height:395.15pt;width:481.9pt;" fillcolor="#FFFFFF" filled="t" stroked="t" coordsize="21600,21600" o:gfxdata="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TvU+jVAAAA&#10;BQEAAA8AAAAAAAAAAQAgAAAAIgAAAGRycy9kb3ducmV2LnhtbFBLAQIUABQAAAAIAIdO4kAlcKnk&#10;IAIAAEwEAAAOAAAAAAAAAAEAIAAAACQBAABkcnMvZTJvRG9jLnhtbFBLBQYAAAAABgAGAFkBAAC2&#10;BQAAAAA=&#10;">
                <v:fill on="t" focussize="0,0"/>
                <v:stroke color="#000000" joinstyle="miter"/>
                <v:imagedata o:title=""/>
                <o:lock v:ext="edit" aspectratio="f"/>
                <v:textbox>
                  <w:txbxContent>
                    <w:p>
                      <w:pPr>
                        <w:rPr>
                          <w:rFonts w:ascii="Arial" w:hAnsi="Arial" w:cs="Arial"/>
                          <w:lang w:eastAsia="ja-JP"/>
                        </w:rPr>
                      </w:pPr>
                      <w:r>
                        <w:rPr>
                          <w:rFonts w:ascii="Arial" w:hAnsi="Arial" w:cs="Arial"/>
                          <w:lang w:eastAsia="ja-JP"/>
                        </w:rPr>
                        <w:t>Regarding the ambiguity issue originally pointed out by [CAICT]:</w:t>
                      </w:r>
                    </w:p>
                    <w:p>
                      <w:pPr>
                        <w:pStyle w:val="31"/>
                        <w:numPr>
                          <w:ilvl w:val="0"/>
                          <w:numId w:val="7"/>
                        </w:numPr>
                        <w:rPr>
                          <w:rFonts w:ascii="Arial" w:hAnsi="Arial" w:cs="Arial"/>
                          <w:lang w:eastAsia="ja-JP"/>
                        </w:rPr>
                      </w:pPr>
                      <w:r>
                        <w:rPr>
                          <w:rFonts w:ascii="Arial" w:hAnsi="Arial" w:cs="Arial"/>
                          <w:lang w:val="en-US" w:eastAsia="ja-JP"/>
                        </w:rPr>
                        <w:t>[Moderator] According to the figure below, the claimed “ambiguity period” between RTT_min and RTT_max does not appear to be true.</w:t>
                      </w:r>
                    </w:p>
                    <w:p>
                      <w:pPr>
                        <w:jc w:val="center"/>
                        <w:rPr>
                          <w:rFonts w:ascii="Arial" w:hAnsi="Arial" w:cs="Arial"/>
                          <w:lang w:eastAsia="ja-JP"/>
                        </w:rPr>
                      </w:pPr>
                      <w:r>
                        <w:drawing>
                          <wp:inline distT="0" distB="0" distL="0" distR="0">
                            <wp:extent cx="4540885" cy="2707005"/>
                            <wp:effectExtent l="0" t="0" r="63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9"/>
                                    <a:stretch>
                                      <a:fillRect/>
                                    </a:stretch>
                                  </pic:blipFill>
                                  <pic:spPr>
                                    <a:xfrm>
                                      <a:off x="0" y="0"/>
                                      <a:ext cx="4540885" cy="2707005"/>
                                    </a:xfrm>
                                    <a:prstGeom prst="rect">
                                      <a:avLst/>
                                    </a:prstGeom>
                                  </pic:spPr>
                                </pic:pic>
                              </a:graphicData>
                            </a:graphic>
                          </wp:inline>
                        </w:drawing>
                      </w:r>
                    </w:p>
                    <w:p>
                      <w:pPr>
                        <w:rPr>
                          <w:rFonts w:ascii="Arial" w:hAnsi="Arial" w:cs="Arial"/>
                          <w:lang w:eastAsia="ja-JP"/>
                        </w:rPr>
                      </w:pPr>
                      <w:r>
                        <w:rPr>
                          <w:rFonts w:ascii="Arial" w:hAnsi="Arial" w:cs="Arial"/>
                          <w:lang w:eastAsia="ja-JP"/>
                        </w:rPr>
                        <w:t>Regarding UE processing time pointed out by [Nokia/NSB]:</w:t>
                      </w:r>
                    </w:p>
                    <w:p>
                      <w:pPr>
                        <w:pStyle w:val="31"/>
                        <w:numPr>
                          <w:ilvl w:val="0"/>
                          <w:numId w:val="7"/>
                        </w:numPr>
                        <w:rPr>
                          <w:rFonts w:ascii="Arial" w:hAnsi="Arial" w:cs="Arial"/>
                          <w:lang w:val="en-GB" w:eastAsia="zh-CN"/>
                        </w:rPr>
                      </w:pPr>
                      <w:r>
                        <w:rPr>
                          <w:rFonts w:ascii="Arial" w:hAnsi="Arial" w:cs="Arial"/>
                          <w:lang w:val="en-US" w:eastAsia="ja-JP"/>
                        </w:rPr>
                        <w:t>[Moderator] As pointed out by [MediaTek], “</w:t>
                      </w:r>
                      <w:r>
                        <w:rPr>
                          <w:rFonts w:ascii="Arial" w:hAnsi="Arial" w:cs="Arial"/>
                          <w:i/>
                          <w:iCs/>
                          <w:lang w:val="en-US" w:eastAsia="ja-JP"/>
                        </w:rPr>
                        <w:t>This SI procedure is well established in cellular and we see no difference for NTN-specific parameters indicated on SIB.</w:t>
                      </w:r>
                      <w:r>
                        <w:rPr>
                          <w:rFonts w:ascii="Arial" w:hAnsi="Arial" w:cs="Arial"/>
                          <w:lang w:val="en-US" w:eastAsia="ja-JP"/>
                        </w:rPr>
                        <w:t>” Indeed, the issue appears not to be fundamentally different from the update of other information in system information. For example, network may update even more fundamental configuration such as PDCCH configuration information in SIB1, but that does not appear to be an issue.</w:t>
                      </w:r>
                    </w:p>
                  </w:txbxContent>
                </v:textbox>
                <w10:wrap type="none"/>
                <w10:anchorlock/>
              </v:rect>
            </w:pict>
          </mc:Fallback>
        </mc:AlternateContent>
      </w:r>
    </w:p>
    <w:p>
      <w:pPr>
        <w:rPr>
          <w:lang w:eastAsia="zh-CN"/>
        </w:rPr>
      </w:pPr>
    </w:p>
    <w:p>
      <w:pPr>
        <w:rPr>
          <w:rFonts w:hint="eastAsia"/>
          <w:lang w:val="en-US" w:eastAsia="zh-CN"/>
        </w:rPr>
      </w:pPr>
      <w:r>
        <w:rPr>
          <w:rFonts w:hint="eastAsia"/>
          <w:lang w:val="en-US" w:eastAsia="zh-CN"/>
        </w:rPr>
        <w:t xml:space="preserve">We agree that different RTTs will not introduce the </w:t>
      </w:r>
      <w:r>
        <w:rPr>
          <w:rFonts w:hint="default"/>
          <w:lang w:val="en-US" w:eastAsia="zh-CN"/>
        </w:rPr>
        <w:t>‘</w:t>
      </w:r>
      <w:r>
        <w:rPr>
          <w:rFonts w:hint="eastAsia"/>
          <w:lang w:val="en-US" w:eastAsia="zh-CN"/>
        </w:rPr>
        <w:t>ambiguity period</w:t>
      </w:r>
      <w:r>
        <w:rPr>
          <w:rFonts w:hint="default"/>
          <w:lang w:val="en-US" w:eastAsia="zh-CN"/>
        </w:rPr>
        <w:t>’</w:t>
      </w:r>
      <w:r>
        <w:rPr>
          <w:rFonts w:hint="eastAsia"/>
          <w:lang w:val="en-US" w:eastAsia="zh-CN"/>
        </w:rPr>
        <w:t xml:space="preserve">. If Koffset does not update, everything is OK.The issue actually comes from the difference between the new Koffset and the old Koffset. </w:t>
      </w:r>
    </w:p>
    <w:p>
      <w:pPr>
        <w:rPr>
          <w:rFonts w:hint="eastAsia"/>
          <w:lang w:val="en-US" w:eastAsia="zh-CN"/>
        </w:rPr>
      </w:pPr>
      <w:r>
        <w:rPr>
          <w:rFonts w:hint="eastAsia"/>
          <w:b/>
          <w:bCs/>
          <w:lang w:val="en-US" w:eastAsia="zh-CN"/>
        </w:rPr>
        <w:t xml:space="preserve">Figure 1 </w:t>
      </w:r>
      <w:r>
        <w:rPr>
          <w:rFonts w:hint="eastAsia"/>
          <w:lang w:val="en-US" w:eastAsia="zh-CN"/>
        </w:rPr>
        <w:t xml:space="preserve">shows an example, in which Koffset_old = 8, Koffset_new = 6, Koffset is updated in the SIB in slot n. If K2=2, then Koffset_old + K2 = 10, Koffset_new + K2 = 8. For the DL scheduling in slot n-1, old Koffset should be used, and UL transmission should be in slot (n-1) + Koffset_old + K2 = (n-1) + (8+2). For the DL scheduling in slot #n+1, new Koffset should be used, and UL transmission should be in slot (n+1) + Koffset_new + K2 = (n+1) + (6+2). Consequently, the two UL transmission conflict in slot n+9. </w:t>
      </w:r>
    </w:p>
    <w:p>
      <w:pPr>
        <w:jc w:val="center"/>
      </w:pPr>
      <w:r>
        <w:drawing>
          <wp:inline distT="0" distB="0" distL="114300" distR="114300">
            <wp:extent cx="5525135" cy="2677160"/>
            <wp:effectExtent l="0" t="0" r="6985" b="5080"/>
            <wp:docPr id="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1"/>
                    <pic:cNvPicPr>
                      <a:picLocks noChangeAspect="1"/>
                    </pic:cNvPicPr>
                  </pic:nvPicPr>
                  <pic:blipFill>
                    <a:blip r:embed="rId10"/>
                    <a:stretch>
                      <a:fillRect/>
                    </a:stretch>
                  </pic:blipFill>
                  <pic:spPr>
                    <a:xfrm>
                      <a:off x="0" y="0"/>
                      <a:ext cx="5525135" cy="2677160"/>
                    </a:xfrm>
                    <a:prstGeom prst="rect">
                      <a:avLst/>
                    </a:prstGeom>
                    <a:noFill/>
                    <a:ln>
                      <a:noFill/>
                    </a:ln>
                  </pic:spPr>
                </pic:pic>
              </a:graphicData>
            </a:graphic>
          </wp:inline>
        </w:drawing>
      </w:r>
    </w:p>
    <w:p>
      <w:pPr>
        <w:pStyle w:val="33"/>
        <w:jc w:val="center"/>
        <w:rPr>
          <w:rFonts w:hint="default"/>
          <w:b/>
          <w:bCs w:val="0"/>
          <w:i w:val="0"/>
          <w:iCs/>
          <w:lang w:val="en-US" w:eastAsia="zh-CN"/>
        </w:rPr>
      </w:pPr>
      <w:r>
        <w:rPr>
          <w:rFonts w:hint="eastAsia"/>
          <w:b/>
          <w:bCs w:val="0"/>
          <w:i w:val="0"/>
          <w:iCs/>
          <w:lang w:val="en-US" w:eastAsia="zh-CN"/>
        </w:rPr>
        <w:t>Figure 1. UL transmission confliction due to cell-specific Koffset update</w:t>
      </w:r>
    </w:p>
    <w:p>
      <w:pPr>
        <w:rPr>
          <w:rFonts w:hint="eastAsia"/>
          <w:lang w:val="en-US" w:eastAsia="zh-CN"/>
        </w:rPr>
      </w:pPr>
    </w:p>
    <w:p>
      <w:pPr>
        <w:rPr>
          <w:rFonts w:hint="eastAsia"/>
          <w:lang w:val="en-US" w:eastAsia="zh-CN"/>
        </w:rPr>
      </w:pPr>
      <w:r>
        <w:rPr>
          <w:rFonts w:hint="eastAsia"/>
          <w:lang w:val="en-US" w:eastAsia="zh-CN"/>
        </w:rPr>
        <w:t xml:space="preserve">To avoid the confliction, we can choose K2 more </w:t>
      </w:r>
      <w:r>
        <w:rPr>
          <w:rFonts w:hint="default"/>
          <w:lang w:val="en-US" w:eastAsia="zh-CN"/>
        </w:rPr>
        <w:t>‘</w:t>
      </w:r>
      <w:r>
        <w:rPr>
          <w:rFonts w:hint="eastAsia"/>
          <w:lang w:val="en-US" w:eastAsia="zh-CN"/>
        </w:rPr>
        <w:t>wisely</w:t>
      </w:r>
      <w:r>
        <w:rPr>
          <w:rFonts w:hint="default"/>
          <w:lang w:val="en-US" w:eastAsia="zh-CN"/>
        </w:rPr>
        <w:t>’</w:t>
      </w:r>
      <w:r>
        <w:rPr>
          <w:rFonts w:hint="eastAsia"/>
          <w:lang w:val="en-US" w:eastAsia="zh-CN"/>
        </w:rPr>
        <w:t>, say, for this example, choose K2=2 for the first scheduling and choose K2=3 for the second scheduling. But if the difference between the new Koffset and the old Koffset is bigger, we are afraid that K2 can not cover this issue. In addition, we also think that it is necessary to discuss whether this issue is more hard to handle for some semi-static scheduling.</w:t>
      </w:r>
    </w:p>
    <w:p>
      <w:pPr>
        <w:jc w:val="both"/>
        <w:rPr>
          <w:rFonts w:hint="eastAsia"/>
          <w:lang w:val="en-US" w:eastAsia="zh-CN"/>
        </w:rPr>
      </w:pPr>
    </w:p>
    <w:p>
      <w:pPr>
        <w:jc w:val="both"/>
        <w:rPr>
          <w:rFonts w:hint="default"/>
          <w:lang w:val="en-US" w:eastAsia="zh-CN"/>
        </w:rPr>
      </w:pPr>
      <w:r>
        <w:rPr>
          <w:rFonts w:hint="eastAsia"/>
          <w:b/>
          <w:bCs/>
          <w:lang w:val="en-US" w:eastAsia="zh-CN"/>
        </w:rPr>
        <w:t xml:space="preserve">Figure 2 </w:t>
      </w:r>
      <w:r>
        <w:rPr>
          <w:rFonts w:hint="eastAsia"/>
          <w:lang w:val="en-US" w:eastAsia="zh-CN"/>
        </w:rPr>
        <w:t xml:space="preserve">shows another example to illustrate the </w:t>
      </w:r>
      <w:r>
        <w:rPr>
          <w:rFonts w:hint="default"/>
          <w:lang w:val="en-US" w:eastAsia="zh-CN"/>
        </w:rPr>
        <w:t>‘</w:t>
      </w:r>
      <w:r>
        <w:rPr>
          <w:rFonts w:hint="eastAsia"/>
          <w:lang w:val="en-US" w:eastAsia="zh-CN"/>
        </w:rPr>
        <w:t>confliction period</w:t>
      </w:r>
      <w:r>
        <w:rPr>
          <w:rFonts w:hint="default"/>
          <w:lang w:val="en-US" w:eastAsia="zh-CN"/>
        </w:rPr>
        <w:t>’</w:t>
      </w:r>
      <w:r>
        <w:rPr>
          <w:rFonts w:hint="eastAsia"/>
          <w:lang w:val="en-US" w:eastAsia="zh-CN"/>
        </w:rPr>
        <w:t xml:space="preserve"> caused by Koffset update. In this example, the old Koffset is 10, Koffset is updated in slot n and the new Koffset is 6. It can be seen that without considering K2 or other factors, there is a confliction period in UL transmission in slot n+{7, 8, 9}.</w:t>
      </w:r>
    </w:p>
    <w:p>
      <w:pPr>
        <w:jc w:val="both"/>
        <w:rPr>
          <w:rFonts w:hint="default"/>
          <w:lang w:val="en-US" w:eastAsia="zh-CN"/>
        </w:rPr>
      </w:pPr>
    </w:p>
    <w:p>
      <w:pPr>
        <w:jc w:val="center"/>
      </w:pPr>
      <w:r>
        <w:drawing>
          <wp:inline distT="0" distB="0" distL="114300" distR="114300">
            <wp:extent cx="5935345" cy="3164205"/>
            <wp:effectExtent l="0" t="0" r="8255" b="5715"/>
            <wp:docPr id="1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6"/>
                    <pic:cNvPicPr>
                      <a:picLocks noChangeAspect="1"/>
                    </pic:cNvPicPr>
                  </pic:nvPicPr>
                  <pic:blipFill>
                    <a:blip r:embed="rId11"/>
                    <a:stretch>
                      <a:fillRect/>
                    </a:stretch>
                  </pic:blipFill>
                  <pic:spPr>
                    <a:xfrm>
                      <a:off x="0" y="0"/>
                      <a:ext cx="5935345" cy="3164205"/>
                    </a:xfrm>
                    <a:prstGeom prst="rect">
                      <a:avLst/>
                    </a:prstGeom>
                    <a:noFill/>
                    <a:ln>
                      <a:noFill/>
                    </a:ln>
                  </pic:spPr>
                </pic:pic>
              </a:graphicData>
            </a:graphic>
          </wp:inline>
        </w:drawing>
      </w:r>
    </w:p>
    <w:p>
      <w:pPr>
        <w:pStyle w:val="33"/>
        <w:jc w:val="center"/>
        <w:rPr>
          <w:rFonts w:hint="default"/>
          <w:b/>
          <w:bCs w:val="0"/>
          <w:i w:val="0"/>
          <w:iCs/>
          <w:lang w:val="en-US" w:eastAsia="zh-CN"/>
        </w:rPr>
      </w:pPr>
      <w:r>
        <w:rPr>
          <w:rFonts w:hint="eastAsia"/>
          <w:b/>
          <w:bCs w:val="0"/>
          <w:i w:val="0"/>
          <w:iCs/>
          <w:lang w:val="en-US" w:eastAsia="zh-CN"/>
        </w:rPr>
        <w:t>Figure 2. UL transmission confliction period due to cell-specific Koffset update</w:t>
      </w:r>
    </w:p>
    <w:p>
      <w:pPr>
        <w:pStyle w:val="33"/>
        <w:jc w:val="center"/>
        <w:rPr>
          <w:rFonts w:hint="default"/>
          <w:b/>
          <w:bCs w:val="0"/>
          <w:i w:val="0"/>
          <w:iCs/>
          <w:lang w:val="en-US" w:eastAsia="zh-CN"/>
        </w:rPr>
      </w:pPr>
    </w:p>
    <w:p>
      <w:pPr>
        <w:pStyle w:val="33"/>
        <w:rPr>
          <w:rFonts w:hint="eastAsia"/>
          <w:b/>
          <w:bCs w:val="0"/>
          <w:i w:val="0"/>
          <w:iCs/>
          <w:lang w:val="en-US" w:eastAsia="zh-CN"/>
        </w:rPr>
      </w:pPr>
      <w:r>
        <w:rPr>
          <w:rFonts w:hint="eastAsia"/>
          <w:b/>
          <w:bCs w:val="0"/>
          <w:i w:val="0"/>
          <w:iCs/>
          <w:lang w:val="en-US" w:eastAsia="zh-CN"/>
        </w:rPr>
        <w:t xml:space="preserve">Observation </w:t>
      </w:r>
      <w:r>
        <w:rPr>
          <w:b/>
          <w:bCs w:val="0"/>
          <w:i w:val="0"/>
          <w:iCs/>
          <w:lang w:eastAsia="zh-CN"/>
        </w:rPr>
        <w:t xml:space="preserve">1: </w:t>
      </w:r>
      <w:r>
        <w:rPr>
          <w:rFonts w:hint="eastAsia"/>
          <w:b/>
          <w:bCs w:val="0"/>
          <w:i w:val="0"/>
          <w:iCs/>
          <w:lang w:val="en-US" w:eastAsia="zh-CN"/>
        </w:rPr>
        <w:t>There is a confliction period in UL transmission when the cell specific Koffset is updated and the new Koffset is less than the old one.</w:t>
      </w:r>
    </w:p>
    <w:p>
      <w:pPr>
        <w:jc w:val="both"/>
        <w:rPr>
          <w:rFonts w:hint="default"/>
          <w:lang w:val="en-US" w:eastAsia="zh-CN"/>
        </w:rPr>
      </w:pPr>
    </w:p>
    <w:p>
      <w:pPr>
        <w:jc w:val="both"/>
        <w:rPr>
          <w:rFonts w:hint="eastAsia"/>
          <w:lang w:val="en-US" w:eastAsia="zh-CN"/>
        </w:rPr>
      </w:pPr>
      <w:r>
        <w:rPr>
          <w:rFonts w:hint="eastAsia"/>
          <w:lang w:val="en-US" w:eastAsia="zh-CN"/>
        </w:rPr>
        <w:t xml:space="preserve">To avoid the confliction, a protection period can be taken, as illustrated in </w:t>
      </w:r>
      <w:r>
        <w:rPr>
          <w:rFonts w:hint="eastAsia"/>
          <w:b/>
          <w:bCs/>
          <w:lang w:val="en-US" w:eastAsia="zh-CN"/>
        </w:rPr>
        <w:t>Figure 3</w:t>
      </w:r>
      <w:r>
        <w:rPr>
          <w:rFonts w:hint="eastAsia"/>
          <w:lang w:val="en-US" w:eastAsia="zh-CN"/>
        </w:rPr>
        <w:t>. The length of the protection period may be Koffset_old - Koffset_new, or Koffset_old - Koffset_new -1, which is FFS.</w:t>
      </w:r>
    </w:p>
    <w:p>
      <w:pPr>
        <w:jc w:val="both"/>
        <w:rPr>
          <w:rFonts w:hint="default"/>
          <w:lang w:val="en-US" w:eastAsia="zh-CN"/>
        </w:rPr>
      </w:pPr>
      <w:r>
        <w:rPr>
          <w:rFonts w:hint="eastAsia"/>
          <w:lang w:val="en-US" w:eastAsia="zh-CN"/>
        </w:rPr>
        <w:t>In this protection period, UE should not make UL transmission base on the new Koffset.</w:t>
      </w:r>
    </w:p>
    <w:p>
      <w:pPr>
        <w:jc w:val="both"/>
        <w:rPr>
          <w:rFonts w:hint="eastAsia"/>
          <w:lang w:val="en-US" w:eastAsia="zh-CN"/>
        </w:rPr>
      </w:pPr>
    </w:p>
    <w:p>
      <w:pPr>
        <w:jc w:val="center"/>
        <w:rPr>
          <w:rFonts w:hint="default"/>
          <w:lang w:val="en-US" w:eastAsia="zh-CN"/>
        </w:rPr>
      </w:pPr>
      <w:r>
        <w:drawing>
          <wp:inline distT="0" distB="0" distL="114300" distR="114300">
            <wp:extent cx="5931535" cy="3090545"/>
            <wp:effectExtent l="0" t="0" r="12065" b="3175"/>
            <wp:docPr id="1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7"/>
                    <pic:cNvPicPr>
                      <a:picLocks noChangeAspect="1"/>
                    </pic:cNvPicPr>
                  </pic:nvPicPr>
                  <pic:blipFill>
                    <a:blip r:embed="rId12"/>
                    <a:stretch>
                      <a:fillRect/>
                    </a:stretch>
                  </pic:blipFill>
                  <pic:spPr>
                    <a:xfrm>
                      <a:off x="0" y="0"/>
                      <a:ext cx="5931535" cy="3090545"/>
                    </a:xfrm>
                    <a:prstGeom prst="rect">
                      <a:avLst/>
                    </a:prstGeom>
                    <a:noFill/>
                    <a:ln>
                      <a:noFill/>
                    </a:ln>
                  </pic:spPr>
                </pic:pic>
              </a:graphicData>
            </a:graphic>
          </wp:inline>
        </w:drawing>
      </w:r>
    </w:p>
    <w:p>
      <w:pPr>
        <w:pStyle w:val="33"/>
        <w:jc w:val="center"/>
        <w:rPr>
          <w:rFonts w:hint="default"/>
          <w:b/>
          <w:bCs w:val="0"/>
          <w:i w:val="0"/>
          <w:iCs/>
          <w:lang w:val="en-US" w:eastAsia="zh-CN"/>
        </w:rPr>
      </w:pPr>
      <w:r>
        <w:rPr>
          <w:rFonts w:hint="eastAsia"/>
          <w:b/>
          <w:bCs w:val="0"/>
          <w:i w:val="0"/>
          <w:iCs/>
          <w:lang w:val="en-US" w:eastAsia="zh-CN"/>
        </w:rPr>
        <w:t>Figure 3. Protection period to avoid UL transmission confliction</w:t>
      </w:r>
    </w:p>
    <w:p>
      <w:pPr>
        <w:pStyle w:val="33"/>
        <w:rPr>
          <w:b/>
          <w:bCs w:val="0"/>
          <w:i w:val="0"/>
          <w:iCs/>
          <w:lang w:eastAsia="zh-CN"/>
        </w:rPr>
      </w:pPr>
    </w:p>
    <w:p>
      <w:pPr>
        <w:pStyle w:val="33"/>
        <w:rPr>
          <w:rFonts w:hint="default"/>
          <w:b/>
          <w:bCs w:val="0"/>
          <w:i w:val="0"/>
          <w:iCs/>
          <w:lang w:val="en-US" w:eastAsia="zh-CN"/>
        </w:rPr>
      </w:pPr>
      <w:r>
        <w:rPr>
          <w:b/>
          <w:bCs w:val="0"/>
          <w:i w:val="0"/>
          <w:iCs/>
          <w:lang w:eastAsia="zh-CN"/>
        </w:rPr>
        <w:t xml:space="preserve">Proposal 1: </w:t>
      </w:r>
      <w:r>
        <w:rPr>
          <w:rFonts w:hint="eastAsia"/>
          <w:b/>
          <w:bCs w:val="0"/>
          <w:i w:val="0"/>
          <w:iCs/>
          <w:lang w:val="en-US" w:eastAsia="zh-CN"/>
        </w:rPr>
        <w:t>In case UL transmission confliction due to cell specific Koffset update, a protection period should be set to avoid the confliction.</w:t>
      </w:r>
    </w:p>
    <w:p>
      <w:pPr>
        <w:pStyle w:val="33"/>
        <w:rPr>
          <w:i/>
          <w:lang w:eastAsia="zh-CN"/>
        </w:rPr>
      </w:pPr>
    </w:p>
    <w:p>
      <w:pPr>
        <w:pStyle w:val="3"/>
        <w:tabs>
          <w:tab w:val="left" w:pos="576"/>
          <w:tab w:val="left" w:pos="1002"/>
        </w:tabs>
      </w:pPr>
      <w:bookmarkStart w:id="6" w:name="OLE_LINK48"/>
      <w:r>
        <w:rPr>
          <w:rFonts w:hint="eastAsia"/>
          <w:lang w:val="en-US" w:eastAsia="zh-CN"/>
        </w:rPr>
        <w:t>PDCCH ordered RACH</w:t>
      </w:r>
    </w:p>
    <w:p>
      <w:pPr>
        <w:rPr>
          <w:rFonts w:hint="default"/>
          <w:lang w:val="en-US" w:eastAsia="zh-CN"/>
        </w:rPr>
      </w:pPr>
      <w:r>
        <w:rPr>
          <w:rFonts w:hint="eastAsia"/>
          <w:lang w:val="en-US" w:eastAsia="zh-CN"/>
        </w:rPr>
        <w:t xml:space="preserve">For PDCCH ordered RACH, whether cell specific Koffset or UE specific Koffset should be applied is an issue. Considering that PDCCH ordered RACH may be triggered due to loss of synchronizations, there is a risk that UE specific Koffset might be outdated and not correct. Using cell specific Koffset is safer. </w:t>
      </w:r>
    </w:p>
    <w:p>
      <w:pPr>
        <w:rPr>
          <w:b/>
          <w:i/>
          <w:lang w:eastAsia="zh-CN"/>
        </w:rPr>
      </w:pPr>
    </w:p>
    <w:p>
      <w:pPr>
        <w:rPr>
          <w:rFonts w:hint="default"/>
          <w:b/>
          <w:bCs w:val="0"/>
          <w:i w:val="0"/>
          <w:iCs/>
          <w:lang w:val="en-US" w:eastAsia="zh-CN"/>
        </w:rPr>
      </w:pPr>
      <w:r>
        <w:rPr>
          <w:rFonts w:hint="eastAsia"/>
          <w:b/>
          <w:bCs w:val="0"/>
          <w:i w:val="0"/>
          <w:iCs/>
          <w:lang w:val="en-US" w:eastAsia="zh-CN"/>
        </w:rPr>
        <w:t>Observation 2</w:t>
      </w:r>
      <w:r>
        <w:rPr>
          <w:rFonts w:hint="default"/>
          <w:b/>
          <w:bCs w:val="0"/>
          <w:i w:val="0"/>
          <w:iCs/>
          <w:lang w:val="en-US" w:eastAsia="zh-CN"/>
        </w:rPr>
        <w:t xml:space="preserve">: </w:t>
      </w:r>
      <w:r>
        <w:rPr>
          <w:rFonts w:hint="eastAsia"/>
          <w:b/>
          <w:bCs w:val="0"/>
          <w:i w:val="0"/>
          <w:iCs/>
          <w:lang w:val="en-US" w:eastAsia="zh-CN"/>
        </w:rPr>
        <w:t>In PDCCH ordered RACH, using UE specific Koffset is risky due to link uncertainty.</w:t>
      </w:r>
    </w:p>
    <w:p>
      <w:pPr>
        <w:rPr>
          <w:b/>
          <w:bCs w:val="0"/>
          <w:i w:val="0"/>
          <w:iCs/>
          <w:lang w:eastAsia="zh-CN"/>
        </w:rPr>
      </w:pPr>
      <w:r>
        <w:rPr>
          <w:b/>
          <w:bCs w:val="0"/>
          <w:i w:val="0"/>
          <w:iCs/>
          <w:lang w:eastAsia="zh-CN"/>
        </w:rPr>
        <w:t xml:space="preserve">Proposal </w:t>
      </w:r>
      <w:r>
        <w:rPr>
          <w:rFonts w:hint="eastAsia"/>
          <w:b/>
          <w:bCs w:val="0"/>
          <w:i w:val="0"/>
          <w:iCs/>
          <w:lang w:val="en-US" w:eastAsia="zh-CN"/>
        </w:rPr>
        <w:t>2</w:t>
      </w:r>
      <w:r>
        <w:rPr>
          <w:rFonts w:hint="default"/>
          <w:b/>
          <w:bCs w:val="0"/>
          <w:i w:val="0"/>
          <w:iCs/>
          <w:lang w:val="en-US" w:eastAsia="zh-CN"/>
        </w:rPr>
        <w:t xml:space="preserve">: </w:t>
      </w:r>
      <w:r>
        <w:rPr>
          <w:rFonts w:hint="eastAsia"/>
          <w:b/>
          <w:bCs w:val="0"/>
          <w:i w:val="0"/>
          <w:iCs/>
          <w:lang w:val="en-US" w:eastAsia="zh-CN"/>
        </w:rPr>
        <w:t>Use cell-specific Koffset in PDCCH ordered RACH</w:t>
      </w:r>
      <w:r>
        <w:rPr>
          <w:b/>
          <w:bCs w:val="0"/>
          <w:i w:val="0"/>
          <w:iCs/>
          <w:lang w:eastAsia="zh-CN"/>
        </w:rPr>
        <w:t>.</w:t>
      </w:r>
    </w:p>
    <w:p>
      <w:pPr>
        <w:rPr>
          <w:rFonts w:hint="default" w:ascii="Times New Roman" w:hAnsi="Times New Roman"/>
          <w:lang w:val="en-US" w:eastAsia="zh-CN"/>
        </w:rPr>
      </w:pPr>
      <w:r>
        <w:rPr>
          <w:rFonts w:hint="default" w:ascii="Times New Roman" w:hAnsi="Times New Roman"/>
          <w:lang w:val="en-US" w:eastAsia="zh-CN"/>
        </w:rPr>
        <w:br w:type="page"/>
      </w:r>
    </w:p>
    <w:p>
      <w:pPr>
        <w:pStyle w:val="12"/>
        <w:rPr>
          <w:rFonts w:hint="default" w:ascii="Times New Roman" w:hAnsi="Times New Roman"/>
          <w:lang w:val="en-US" w:eastAsia="zh-CN"/>
        </w:rPr>
      </w:pPr>
    </w:p>
    <w:bookmarkEnd w:id="6"/>
    <w:p>
      <w:pPr>
        <w:pStyle w:val="2"/>
      </w:pPr>
      <w:r>
        <w:t>Conclusions</w:t>
      </w:r>
    </w:p>
    <w:p>
      <w:pPr>
        <w:rPr>
          <w:lang w:eastAsia="ja-JP"/>
        </w:rPr>
      </w:pPr>
      <w:bookmarkStart w:id="7" w:name="_Ref124589665"/>
      <w:bookmarkStart w:id="8" w:name="_Ref124671424"/>
      <w:bookmarkStart w:id="9" w:name="_Ref71620620"/>
      <w:r>
        <w:rPr>
          <w:lang w:eastAsia="ja-JP"/>
        </w:rPr>
        <w:t xml:space="preserve">In this contribution, we </w:t>
      </w:r>
      <w:r>
        <w:t xml:space="preserve">discussed enhancements for </w:t>
      </w:r>
      <w:r>
        <w:rPr>
          <w:lang w:eastAsia="zh-CN"/>
        </w:rPr>
        <w:t>timing relationship</w:t>
      </w:r>
      <w:r>
        <w:t xml:space="preserve"> in NTN.</w:t>
      </w:r>
      <w:r>
        <w:rPr>
          <w:lang w:eastAsia="ja-JP"/>
        </w:rPr>
        <w:t xml:space="preserve"> Then we get the following observations and proposals:</w:t>
      </w:r>
    </w:p>
    <w:p>
      <w:pPr>
        <w:rPr>
          <w:lang w:eastAsia="ja-JP"/>
        </w:rPr>
      </w:pPr>
    </w:p>
    <w:p>
      <w:pPr>
        <w:pStyle w:val="33"/>
        <w:rPr>
          <w:rFonts w:hint="eastAsia"/>
          <w:b/>
          <w:bCs w:val="0"/>
          <w:i w:val="0"/>
          <w:iCs/>
          <w:lang w:val="en-US" w:eastAsia="zh-CN"/>
        </w:rPr>
      </w:pPr>
      <w:r>
        <w:rPr>
          <w:rFonts w:hint="eastAsia"/>
          <w:b/>
          <w:bCs w:val="0"/>
          <w:i w:val="0"/>
          <w:iCs/>
          <w:lang w:val="en-US" w:eastAsia="zh-CN"/>
        </w:rPr>
        <w:t xml:space="preserve">Observation </w:t>
      </w:r>
      <w:r>
        <w:rPr>
          <w:b/>
          <w:bCs w:val="0"/>
          <w:i w:val="0"/>
          <w:iCs/>
          <w:lang w:eastAsia="zh-CN"/>
        </w:rPr>
        <w:t xml:space="preserve">1: </w:t>
      </w:r>
      <w:r>
        <w:rPr>
          <w:rFonts w:hint="eastAsia"/>
          <w:b/>
          <w:bCs w:val="0"/>
          <w:i w:val="0"/>
          <w:iCs/>
          <w:lang w:val="en-US" w:eastAsia="zh-CN"/>
        </w:rPr>
        <w:t>There is confliction period in UL transmission when the cell specific Koffset is updated and the new Koffset is less than the old one.</w:t>
      </w:r>
    </w:p>
    <w:p>
      <w:pPr>
        <w:pStyle w:val="33"/>
        <w:rPr>
          <w:rFonts w:hint="default"/>
          <w:b/>
          <w:bCs w:val="0"/>
          <w:i w:val="0"/>
          <w:iCs/>
          <w:lang w:val="en-US" w:eastAsia="zh-CN"/>
        </w:rPr>
      </w:pPr>
      <w:r>
        <w:rPr>
          <w:b/>
          <w:bCs w:val="0"/>
          <w:i w:val="0"/>
          <w:iCs/>
          <w:lang w:eastAsia="zh-CN"/>
        </w:rPr>
        <w:t xml:space="preserve">Proposal 1: </w:t>
      </w:r>
      <w:r>
        <w:rPr>
          <w:rFonts w:hint="eastAsia"/>
          <w:b/>
          <w:bCs w:val="0"/>
          <w:i w:val="0"/>
          <w:iCs/>
          <w:lang w:val="en-US" w:eastAsia="zh-CN"/>
        </w:rPr>
        <w:t>In case UL transmission confliction due to cell specific Koffset update, a protection period should be set to avoid the confliction.</w:t>
      </w:r>
    </w:p>
    <w:p>
      <w:pPr>
        <w:rPr>
          <w:rFonts w:hint="default"/>
          <w:b/>
          <w:bCs w:val="0"/>
          <w:i w:val="0"/>
          <w:iCs/>
          <w:lang w:val="en-US" w:eastAsia="zh-CN"/>
        </w:rPr>
      </w:pPr>
      <w:bookmarkStart w:id="11" w:name="_GoBack"/>
      <w:bookmarkEnd w:id="11"/>
      <w:r>
        <w:rPr>
          <w:rFonts w:hint="eastAsia"/>
          <w:b/>
          <w:bCs w:val="0"/>
          <w:i w:val="0"/>
          <w:iCs/>
          <w:lang w:val="en-US" w:eastAsia="zh-CN"/>
        </w:rPr>
        <w:t>Observation 2</w:t>
      </w:r>
      <w:r>
        <w:rPr>
          <w:rFonts w:hint="default"/>
          <w:b/>
          <w:bCs w:val="0"/>
          <w:i w:val="0"/>
          <w:iCs/>
          <w:lang w:val="en-US" w:eastAsia="zh-CN"/>
        </w:rPr>
        <w:t xml:space="preserve">: </w:t>
      </w:r>
      <w:r>
        <w:rPr>
          <w:rFonts w:hint="eastAsia"/>
          <w:b/>
          <w:bCs w:val="0"/>
          <w:i w:val="0"/>
          <w:iCs/>
          <w:lang w:val="en-US" w:eastAsia="zh-CN"/>
        </w:rPr>
        <w:t>In PDCCH ordered RACH, using UE specific Koffset is risky due to link uncertainty.</w:t>
      </w:r>
    </w:p>
    <w:p>
      <w:pPr>
        <w:rPr>
          <w:b/>
          <w:bCs w:val="0"/>
          <w:i w:val="0"/>
          <w:iCs/>
          <w:lang w:eastAsia="zh-CN"/>
        </w:rPr>
      </w:pPr>
      <w:r>
        <w:rPr>
          <w:b/>
          <w:bCs w:val="0"/>
          <w:i w:val="0"/>
          <w:iCs/>
          <w:lang w:eastAsia="zh-CN"/>
        </w:rPr>
        <w:t xml:space="preserve">Proposal </w:t>
      </w:r>
      <w:r>
        <w:rPr>
          <w:rFonts w:hint="eastAsia"/>
          <w:b/>
          <w:bCs w:val="0"/>
          <w:i w:val="0"/>
          <w:iCs/>
          <w:lang w:val="en-US" w:eastAsia="zh-CN"/>
        </w:rPr>
        <w:t>2</w:t>
      </w:r>
      <w:r>
        <w:rPr>
          <w:rFonts w:hint="default"/>
          <w:b/>
          <w:bCs w:val="0"/>
          <w:i w:val="0"/>
          <w:iCs/>
          <w:lang w:val="en-US" w:eastAsia="zh-CN"/>
        </w:rPr>
        <w:t xml:space="preserve">: </w:t>
      </w:r>
      <w:r>
        <w:rPr>
          <w:rFonts w:hint="eastAsia"/>
          <w:b/>
          <w:bCs w:val="0"/>
          <w:i w:val="0"/>
          <w:iCs/>
          <w:lang w:val="en-US" w:eastAsia="zh-CN"/>
        </w:rPr>
        <w:t>Use cell-specific Koffset in PDCCH ordered RACH</w:t>
      </w:r>
      <w:r>
        <w:rPr>
          <w:b/>
          <w:bCs w:val="0"/>
          <w:i w:val="0"/>
          <w:iCs/>
          <w:lang w:eastAsia="zh-CN"/>
        </w:rPr>
        <w:t>.</w:t>
      </w:r>
    </w:p>
    <w:p>
      <w:pPr>
        <w:rPr>
          <w:lang w:eastAsia="ja-JP"/>
        </w:rPr>
      </w:pPr>
    </w:p>
    <w:p>
      <w:pPr>
        <w:pStyle w:val="2"/>
        <w:numPr>
          <w:ilvl w:val="0"/>
          <w:numId w:val="0"/>
        </w:numPr>
        <w:tabs>
          <w:tab w:val="clear" w:pos="432"/>
        </w:tabs>
        <w:ind w:left="432" w:hanging="432"/>
      </w:pPr>
      <w:r>
        <w:t>References</w:t>
      </w:r>
    </w:p>
    <w:bookmarkEnd w:id="5"/>
    <w:bookmarkEnd w:id="7"/>
    <w:bookmarkEnd w:id="8"/>
    <w:bookmarkEnd w:id="9"/>
    <w:p>
      <w:pPr>
        <w:outlineLvl w:val="9"/>
        <w:rPr>
          <w:lang w:eastAsia="zh-CN"/>
        </w:rPr>
      </w:pPr>
      <w:bookmarkStart w:id="10" w:name="_Ref59611065"/>
      <w:r>
        <w:rPr>
          <w:lang w:eastAsia="zh-CN"/>
        </w:rPr>
        <w:t xml:space="preserve">[1] </w:t>
      </w:r>
      <w:bookmarkEnd w:id="10"/>
      <w:r>
        <w:rPr>
          <w:rFonts w:hint="eastAsia"/>
          <w:lang w:eastAsia="zh-CN"/>
        </w:rPr>
        <w:t>Chair's Notes RAN1#106bis-e 8.4 eom</w:t>
      </w:r>
    </w:p>
    <w:p>
      <w:pPr>
        <w:outlineLvl w:val="9"/>
        <w:rPr>
          <w:lang w:eastAsia="zh-CN"/>
        </w:rPr>
      </w:pPr>
      <w:r>
        <w:rPr>
          <w:lang w:eastAsia="zh-CN"/>
        </w:rPr>
        <w:t>[</w:t>
      </w:r>
      <w:r>
        <w:rPr>
          <w:rFonts w:hint="eastAsia"/>
          <w:lang w:val="en-US" w:eastAsia="zh-CN"/>
        </w:rPr>
        <w:t>2</w:t>
      </w:r>
      <w:r>
        <w:rPr>
          <w:lang w:eastAsia="zh-CN"/>
        </w:rPr>
        <w:t xml:space="preserve">] </w:t>
      </w:r>
      <w:r>
        <w:rPr>
          <w:sz w:val="22"/>
        </w:rPr>
        <w:t>R1- 2110641</w:t>
      </w:r>
      <w:r>
        <w:rPr>
          <w:rFonts w:hint="eastAsia"/>
          <w:sz w:val="22"/>
          <w:lang w:val="en-US" w:eastAsia="zh-CN"/>
        </w:rPr>
        <w:t xml:space="preserve"> </w:t>
      </w:r>
      <w:r>
        <w:rPr>
          <w:sz w:val="22"/>
        </w:rPr>
        <w:t>Feature lead summary#6 on timing relationship enhancements</w:t>
      </w:r>
    </w:p>
    <w:p>
      <w:pPr>
        <w:rPr>
          <w:rFonts w:hint="default"/>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entury">
    <w:panose1 w:val="02040604050505020304"/>
    <w:charset w:val="00"/>
    <w:family w:val="roman"/>
    <w:pitch w:val="default"/>
    <w:sig w:usb0="00000287" w:usb1="00000000" w:usb2="00000000" w:usb3="00000000" w:csb0="2000009F" w:csb1="DFD70000"/>
  </w:font>
  <w:font w:name="MS Mincho">
    <w:panose1 w:val="02020609040205080304"/>
    <w:charset w:val="80"/>
    <w:family w:val="roma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pStyle w:val="32"/>
      <w:lvlText w:val="[%1]"/>
      <w:lvlJc w:val="left"/>
      <w:pPr>
        <w:tabs>
          <w:tab w:val="left" w:pos="360"/>
        </w:tabs>
        <w:ind w:left="360" w:hanging="360"/>
      </w:pPr>
    </w:lvl>
  </w:abstractNum>
  <w:abstractNum w:abstractNumId="1">
    <w:nsid w:val="00000003"/>
    <w:multiLevelType w:val="multilevel"/>
    <w:tmpl w:val="00000003"/>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053208E"/>
    <w:multiLevelType w:val="multilevel"/>
    <w:tmpl w:val="0053208E"/>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1002"/>
        </w:tabs>
        <w:ind w:left="1002"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13EA3685"/>
    <w:multiLevelType w:val="multilevel"/>
    <w:tmpl w:val="13EA3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FB12EC"/>
    <w:multiLevelType w:val="multilevel"/>
    <w:tmpl w:val="26FB12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067"/>
    <w:rsid w:val="000551CC"/>
    <w:rsid w:val="000C4837"/>
    <w:rsid w:val="000D2370"/>
    <w:rsid w:val="000D4372"/>
    <w:rsid w:val="001063CB"/>
    <w:rsid w:val="0011529B"/>
    <w:rsid w:val="00207ED2"/>
    <w:rsid w:val="0022712E"/>
    <w:rsid w:val="00317508"/>
    <w:rsid w:val="003417F3"/>
    <w:rsid w:val="003E5CA8"/>
    <w:rsid w:val="00490977"/>
    <w:rsid w:val="004D2002"/>
    <w:rsid w:val="0050567A"/>
    <w:rsid w:val="0053495B"/>
    <w:rsid w:val="005A3907"/>
    <w:rsid w:val="005E1551"/>
    <w:rsid w:val="006303FE"/>
    <w:rsid w:val="006774E7"/>
    <w:rsid w:val="0069475C"/>
    <w:rsid w:val="006C1CCC"/>
    <w:rsid w:val="006E43D7"/>
    <w:rsid w:val="007027CC"/>
    <w:rsid w:val="00704F1C"/>
    <w:rsid w:val="007E4570"/>
    <w:rsid w:val="007F66CD"/>
    <w:rsid w:val="007F7264"/>
    <w:rsid w:val="00841761"/>
    <w:rsid w:val="00851D4E"/>
    <w:rsid w:val="009618B6"/>
    <w:rsid w:val="00996863"/>
    <w:rsid w:val="009A1152"/>
    <w:rsid w:val="00A11D10"/>
    <w:rsid w:val="00A211C3"/>
    <w:rsid w:val="00B321ED"/>
    <w:rsid w:val="00C6213C"/>
    <w:rsid w:val="00CA4C48"/>
    <w:rsid w:val="00CF2067"/>
    <w:rsid w:val="00D1492C"/>
    <w:rsid w:val="00D20F44"/>
    <w:rsid w:val="00D94DD6"/>
    <w:rsid w:val="00E20DED"/>
    <w:rsid w:val="00E238A6"/>
    <w:rsid w:val="00E76A68"/>
    <w:rsid w:val="00EC54D3"/>
    <w:rsid w:val="00EC7C45"/>
    <w:rsid w:val="00ED3E72"/>
    <w:rsid w:val="00F042C2"/>
    <w:rsid w:val="00F156B4"/>
    <w:rsid w:val="00F301B7"/>
    <w:rsid w:val="00F572AE"/>
    <w:rsid w:val="00F93024"/>
    <w:rsid w:val="00FB45F9"/>
    <w:rsid w:val="00FC2029"/>
    <w:rsid w:val="01065F1E"/>
    <w:rsid w:val="01663CFB"/>
    <w:rsid w:val="017E1291"/>
    <w:rsid w:val="01A87C1B"/>
    <w:rsid w:val="01F80233"/>
    <w:rsid w:val="02225F82"/>
    <w:rsid w:val="02451492"/>
    <w:rsid w:val="024528A0"/>
    <w:rsid w:val="025850F8"/>
    <w:rsid w:val="02AD26E7"/>
    <w:rsid w:val="02CF1375"/>
    <w:rsid w:val="03B03011"/>
    <w:rsid w:val="043936A2"/>
    <w:rsid w:val="045043ED"/>
    <w:rsid w:val="045E6BB4"/>
    <w:rsid w:val="04760D6F"/>
    <w:rsid w:val="04981683"/>
    <w:rsid w:val="04D41AA7"/>
    <w:rsid w:val="05534745"/>
    <w:rsid w:val="055574F0"/>
    <w:rsid w:val="05650516"/>
    <w:rsid w:val="059D3EA1"/>
    <w:rsid w:val="05A16E8F"/>
    <w:rsid w:val="05AA6713"/>
    <w:rsid w:val="05D97F41"/>
    <w:rsid w:val="062A4CD8"/>
    <w:rsid w:val="065C536D"/>
    <w:rsid w:val="06C00639"/>
    <w:rsid w:val="06C214D9"/>
    <w:rsid w:val="06F853D6"/>
    <w:rsid w:val="071E7F23"/>
    <w:rsid w:val="074467CE"/>
    <w:rsid w:val="076E17E2"/>
    <w:rsid w:val="077D2651"/>
    <w:rsid w:val="083058C7"/>
    <w:rsid w:val="08512E63"/>
    <w:rsid w:val="08651F23"/>
    <w:rsid w:val="087A7850"/>
    <w:rsid w:val="088A4805"/>
    <w:rsid w:val="08FC147B"/>
    <w:rsid w:val="094F6FE6"/>
    <w:rsid w:val="095D550D"/>
    <w:rsid w:val="0A024383"/>
    <w:rsid w:val="0A662075"/>
    <w:rsid w:val="0A816C9B"/>
    <w:rsid w:val="0A932A9C"/>
    <w:rsid w:val="0B6246D4"/>
    <w:rsid w:val="0B6A3567"/>
    <w:rsid w:val="0B7172C4"/>
    <w:rsid w:val="0B7A3FC9"/>
    <w:rsid w:val="0B920FC3"/>
    <w:rsid w:val="0BB940F2"/>
    <w:rsid w:val="0BE855BC"/>
    <w:rsid w:val="0C441BC4"/>
    <w:rsid w:val="0C881EF9"/>
    <w:rsid w:val="0CB555FE"/>
    <w:rsid w:val="0CBD5926"/>
    <w:rsid w:val="0CC479AA"/>
    <w:rsid w:val="0CC67C3E"/>
    <w:rsid w:val="0CE30CDC"/>
    <w:rsid w:val="0D5C7D02"/>
    <w:rsid w:val="0DFF5100"/>
    <w:rsid w:val="0E1E235A"/>
    <w:rsid w:val="0E4A52A7"/>
    <w:rsid w:val="0E5230C3"/>
    <w:rsid w:val="0E6A5783"/>
    <w:rsid w:val="0E6B06EE"/>
    <w:rsid w:val="0E8A5EBE"/>
    <w:rsid w:val="0EAC08A9"/>
    <w:rsid w:val="0EB65BFF"/>
    <w:rsid w:val="0EC660B6"/>
    <w:rsid w:val="0EDA4B6A"/>
    <w:rsid w:val="0F0B3FCF"/>
    <w:rsid w:val="0F1026BF"/>
    <w:rsid w:val="0F110216"/>
    <w:rsid w:val="0F43538F"/>
    <w:rsid w:val="0F5C030E"/>
    <w:rsid w:val="0F9A576E"/>
    <w:rsid w:val="0FAD33F4"/>
    <w:rsid w:val="0FED60EE"/>
    <w:rsid w:val="107204F3"/>
    <w:rsid w:val="108A72FA"/>
    <w:rsid w:val="10CC4868"/>
    <w:rsid w:val="11034ADC"/>
    <w:rsid w:val="111D3EF8"/>
    <w:rsid w:val="112C406C"/>
    <w:rsid w:val="116F19D5"/>
    <w:rsid w:val="11AD101E"/>
    <w:rsid w:val="11BC03F6"/>
    <w:rsid w:val="11BE41EB"/>
    <w:rsid w:val="11EA620C"/>
    <w:rsid w:val="12062593"/>
    <w:rsid w:val="12450324"/>
    <w:rsid w:val="12942E9C"/>
    <w:rsid w:val="12A05448"/>
    <w:rsid w:val="12A107E0"/>
    <w:rsid w:val="12F24F1D"/>
    <w:rsid w:val="13116642"/>
    <w:rsid w:val="13262C98"/>
    <w:rsid w:val="13922943"/>
    <w:rsid w:val="13AD7835"/>
    <w:rsid w:val="13D93FFD"/>
    <w:rsid w:val="13FB42B4"/>
    <w:rsid w:val="14442EC6"/>
    <w:rsid w:val="149A4EA0"/>
    <w:rsid w:val="14B628FC"/>
    <w:rsid w:val="14D6620D"/>
    <w:rsid w:val="155427D9"/>
    <w:rsid w:val="15A678A3"/>
    <w:rsid w:val="15AE0E46"/>
    <w:rsid w:val="162A62EA"/>
    <w:rsid w:val="16801DF4"/>
    <w:rsid w:val="168A3241"/>
    <w:rsid w:val="168B0A6F"/>
    <w:rsid w:val="16CB50E0"/>
    <w:rsid w:val="16E27A56"/>
    <w:rsid w:val="17927081"/>
    <w:rsid w:val="183A6E25"/>
    <w:rsid w:val="183E4C42"/>
    <w:rsid w:val="18A81F15"/>
    <w:rsid w:val="19745C8C"/>
    <w:rsid w:val="197C0449"/>
    <w:rsid w:val="19D91A21"/>
    <w:rsid w:val="1A475328"/>
    <w:rsid w:val="1A7323F7"/>
    <w:rsid w:val="1A7A4C76"/>
    <w:rsid w:val="1A7D1D0B"/>
    <w:rsid w:val="1A90557F"/>
    <w:rsid w:val="1A94462E"/>
    <w:rsid w:val="1ABF01D5"/>
    <w:rsid w:val="1ADD54D3"/>
    <w:rsid w:val="1AE32990"/>
    <w:rsid w:val="1B0D5EEC"/>
    <w:rsid w:val="1B3B42D1"/>
    <w:rsid w:val="1B4E7800"/>
    <w:rsid w:val="1B724955"/>
    <w:rsid w:val="1B982775"/>
    <w:rsid w:val="1B9E166F"/>
    <w:rsid w:val="1B9F5807"/>
    <w:rsid w:val="1BB5733E"/>
    <w:rsid w:val="1BC51B87"/>
    <w:rsid w:val="1BCA0069"/>
    <w:rsid w:val="1BCF5FE7"/>
    <w:rsid w:val="1BD357F3"/>
    <w:rsid w:val="1BFD452D"/>
    <w:rsid w:val="1C131C64"/>
    <w:rsid w:val="1C425689"/>
    <w:rsid w:val="1C437107"/>
    <w:rsid w:val="1C4E616B"/>
    <w:rsid w:val="1CB47CF8"/>
    <w:rsid w:val="1CB962BE"/>
    <w:rsid w:val="1CBE1265"/>
    <w:rsid w:val="1CD50636"/>
    <w:rsid w:val="1CE50FD1"/>
    <w:rsid w:val="1CE51E77"/>
    <w:rsid w:val="1D690D35"/>
    <w:rsid w:val="1D692E97"/>
    <w:rsid w:val="1DA31EE6"/>
    <w:rsid w:val="1DE22D5A"/>
    <w:rsid w:val="1E0229B3"/>
    <w:rsid w:val="1E202513"/>
    <w:rsid w:val="1E330899"/>
    <w:rsid w:val="1EA52B1F"/>
    <w:rsid w:val="1EB54696"/>
    <w:rsid w:val="1F514B2D"/>
    <w:rsid w:val="1F702BC9"/>
    <w:rsid w:val="1F7870B9"/>
    <w:rsid w:val="1FD1454B"/>
    <w:rsid w:val="205F2456"/>
    <w:rsid w:val="208719C8"/>
    <w:rsid w:val="20A26243"/>
    <w:rsid w:val="20DC2CD6"/>
    <w:rsid w:val="212648D2"/>
    <w:rsid w:val="21411867"/>
    <w:rsid w:val="214C75E4"/>
    <w:rsid w:val="217611C1"/>
    <w:rsid w:val="21800A26"/>
    <w:rsid w:val="219B1200"/>
    <w:rsid w:val="21BA449D"/>
    <w:rsid w:val="21BE36E6"/>
    <w:rsid w:val="21C86512"/>
    <w:rsid w:val="21EE2CED"/>
    <w:rsid w:val="22261462"/>
    <w:rsid w:val="222E53B3"/>
    <w:rsid w:val="22360EEF"/>
    <w:rsid w:val="225C0235"/>
    <w:rsid w:val="22992662"/>
    <w:rsid w:val="22F17322"/>
    <w:rsid w:val="22F73B25"/>
    <w:rsid w:val="230E6C8E"/>
    <w:rsid w:val="232F2433"/>
    <w:rsid w:val="23384ADA"/>
    <w:rsid w:val="236070F3"/>
    <w:rsid w:val="236D0BC2"/>
    <w:rsid w:val="2381140E"/>
    <w:rsid w:val="239541A6"/>
    <w:rsid w:val="23D16421"/>
    <w:rsid w:val="23D37247"/>
    <w:rsid w:val="23DE4686"/>
    <w:rsid w:val="24155EA0"/>
    <w:rsid w:val="247F7155"/>
    <w:rsid w:val="24822519"/>
    <w:rsid w:val="24923FC3"/>
    <w:rsid w:val="25446A58"/>
    <w:rsid w:val="25630D6A"/>
    <w:rsid w:val="256774D8"/>
    <w:rsid w:val="258D4613"/>
    <w:rsid w:val="25A430D7"/>
    <w:rsid w:val="25B514A8"/>
    <w:rsid w:val="266940E4"/>
    <w:rsid w:val="267F5AB9"/>
    <w:rsid w:val="274C787C"/>
    <w:rsid w:val="274E3163"/>
    <w:rsid w:val="27653958"/>
    <w:rsid w:val="277826BC"/>
    <w:rsid w:val="27791F91"/>
    <w:rsid w:val="27866101"/>
    <w:rsid w:val="27F3336C"/>
    <w:rsid w:val="285E3149"/>
    <w:rsid w:val="288C5C58"/>
    <w:rsid w:val="289E294F"/>
    <w:rsid w:val="28A20195"/>
    <w:rsid w:val="293550B5"/>
    <w:rsid w:val="2946576A"/>
    <w:rsid w:val="298A7466"/>
    <w:rsid w:val="29BB6AF5"/>
    <w:rsid w:val="29F23EEC"/>
    <w:rsid w:val="2A2020F3"/>
    <w:rsid w:val="2A2F30BE"/>
    <w:rsid w:val="2A403B19"/>
    <w:rsid w:val="2A7F6BDD"/>
    <w:rsid w:val="2B014841"/>
    <w:rsid w:val="2B3836B0"/>
    <w:rsid w:val="2B6A672B"/>
    <w:rsid w:val="2BEB43A6"/>
    <w:rsid w:val="2C394105"/>
    <w:rsid w:val="2C3C1398"/>
    <w:rsid w:val="2C3F2B6C"/>
    <w:rsid w:val="2C7B0F36"/>
    <w:rsid w:val="2C8F0B82"/>
    <w:rsid w:val="2CC413E2"/>
    <w:rsid w:val="2CF02E9B"/>
    <w:rsid w:val="2D1D59BE"/>
    <w:rsid w:val="2D2338D4"/>
    <w:rsid w:val="2D8E15D5"/>
    <w:rsid w:val="2DA23830"/>
    <w:rsid w:val="2DC9150E"/>
    <w:rsid w:val="2DEA215E"/>
    <w:rsid w:val="2DEB5C7C"/>
    <w:rsid w:val="2E246726"/>
    <w:rsid w:val="2ED131B4"/>
    <w:rsid w:val="2F10042F"/>
    <w:rsid w:val="2F533FDD"/>
    <w:rsid w:val="2F6D305E"/>
    <w:rsid w:val="2FB36D7C"/>
    <w:rsid w:val="2FD367CF"/>
    <w:rsid w:val="2FF67E4F"/>
    <w:rsid w:val="301F0B9A"/>
    <w:rsid w:val="30212097"/>
    <w:rsid w:val="30234320"/>
    <w:rsid w:val="305412E0"/>
    <w:rsid w:val="307E4162"/>
    <w:rsid w:val="308525C4"/>
    <w:rsid w:val="30CC35C0"/>
    <w:rsid w:val="30E110D7"/>
    <w:rsid w:val="30F13A21"/>
    <w:rsid w:val="31053C8D"/>
    <w:rsid w:val="310E050F"/>
    <w:rsid w:val="311243CA"/>
    <w:rsid w:val="311402FE"/>
    <w:rsid w:val="31185134"/>
    <w:rsid w:val="316C6FA3"/>
    <w:rsid w:val="318A618B"/>
    <w:rsid w:val="31A453FB"/>
    <w:rsid w:val="31BE73B4"/>
    <w:rsid w:val="32800550"/>
    <w:rsid w:val="32BC6A0A"/>
    <w:rsid w:val="32C13F23"/>
    <w:rsid w:val="32F80528"/>
    <w:rsid w:val="331C6B94"/>
    <w:rsid w:val="33340D83"/>
    <w:rsid w:val="33A12E0C"/>
    <w:rsid w:val="33A733B8"/>
    <w:rsid w:val="33C7270E"/>
    <w:rsid w:val="33CB7C99"/>
    <w:rsid w:val="33E521D9"/>
    <w:rsid w:val="33F5119F"/>
    <w:rsid w:val="342B49F0"/>
    <w:rsid w:val="34731140"/>
    <w:rsid w:val="34C3398D"/>
    <w:rsid w:val="34EC6A4B"/>
    <w:rsid w:val="35132EC1"/>
    <w:rsid w:val="353974D6"/>
    <w:rsid w:val="355A2CCA"/>
    <w:rsid w:val="35973F23"/>
    <w:rsid w:val="35F50F0A"/>
    <w:rsid w:val="360208CD"/>
    <w:rsid w:val="3614186F"/>
    <w:rsid w:val="361B26E1"/>
    <w:rsid w:val="365F3312"/>
    <w:rsid w:val="366243FA"/>
    <w:rsid w:val="366B29D9"/>
    <w:rsid w:val="368352AD"/>
    <w:rsid w:val="369A1339"/>
    <w:rsid w:val="36D140B2"/>
    <w:rsid w:val="37393517"/>
    <w:rsid w:val="37685DE8"/>
    <w:rsid w:val="37F265C1"/>
    <w:rsid w:val="380C366A"/>
    <w:rsid w:val="38D575A2"/>
    <w:rsid w:val="394F35E3"/>
    <w:rsid w:val="39A904BF"/>
    <w:rsid w:val="39EB2ED9"/>
    <w:rsid w:val="39F42B8B"/>
    <w:rsid w:val="3A0B4E73"/>
    <w:rsid w:val="3A0D4FEA"/>
    <w:rsid w:val="3A23388B"/>
    <w:rsid w:val="3A294F6D"/>
    <w:rsid w:val="3A4867B5"/>
    <w:rsid w:val="3A68154D"/>
    <w:rsid w:val="3A716AEF"/>
    <w:rsid w:val="3AC374AE"/>
    <w:rsid w:val="3AF12333"/>
    <w:rsid w:val="3AF22DE3"/>
    <w:rsid w:val="3B035C39"/>
    <w:rsid w:val="3B4D5125"/>
    <w:rsid w:val="3B4E2946"/>
    <w:rsid w:val="3B7762F4"/>
    <w:rsid w:val="3B7F241E"/>
    <w:rsid w:val="3BC34C76"/>
    <w:rsid w:val="3BCE6954"/>
    <w:rsid w:val="3C0F2602"/>
    <w:rsid w:val="3C1349F9"/>
    <w:rsid w:val="3C151234"/>
    <w:rsid w:val="3C7B118B"/>
    <w:rsid w:val="3C891D7D"/>
    <w:rsid w:val="3C9A5BE4"/>
    <w:rsid w:val="3CC45238"/>
    <w:rsid w:val="3CD65E47"/>
    <w:rsid w:val="3D4B5235"/>
    <w:rsid w:val="3D4B5629"/>
    <w:rsid w:val="3D851BB6"/>
    <w:rsid w:val="3D8D1220"/>
    <w:rsid w:val="3DCE34C1"/>
    <w:rsid w:val="3DD323FC"/>
    <w:rsid w:val="3E6F6751"/>
    <w:rsid w:val="3EB52A10"/>
    <w:rsid w:val="3EF30D5B"/>
    <w:rsid w:val="3F04484B"/>
    <w:rsid w:val="3F1D37D8"/>
    <w:rsid w:val="3F620EA1"/>
    <w:rsid w:val="3F945D7F"/>
    <w:rsid w:val="3F9C1F26"/>
    <w:rsid w:val="3FFB3384"/>
    <w:rsid w:val="404D4A9B"/>
    <w:rsid w:val="408D24C4"/>
    <w:rsid w:val="40C76D9D"/>
    <w:rsid w:val="40E777E4"/>
    <w:rsid w:val="41554682"/>
    <w:rsid w:val="417236F7"/>
    <w:rsid w:val="418D1BF1"/>
    <w:rsid w:val="41A54EF6"/>
    <w:rsid w:val="41AE05BF"/>
    <w:rsid w:val="41BE53E8"/>
    <w:rsid w:val="41C01534"/>
    <w:rsid w:val="41E85619"/>
    <w:rsid w:val="42592F32"/>
    <w:rsid w:val="42904EB6"/>
    <w:rsid w:val="42C86A08"/>
    <w:rsid w:val="42D71B70"/>
    <w:rsid w:val="42F045AF"/>
    <w:rsid w:val="43874D02"/>
    <w:rsid w:val="43A739BF"/>
    <w:rsid w:val="440356A8"/>
    <w:rsid w:val="440C26F9"/>
    <w:rsid w:val="441E4DAF"/>
    <w:rsid w:val="444F5CD0"/>
    <w:rsid w:val="44606761"/>
    <w:rsid w:val="4471537E"/>
    <w:rsid w:val="44860002"/>
    <w:rsid w:val="44B87B4A"/>
    <w:rsid w:val="44D04137"/>
    <w:rsid w:val="451B0395"/>
    <w:rsid w:val="454502AC"/>
    <w:rsid w:val="45525B34"/>
    <w:rsid w:val="455A5E6D"/>
    <w:rsid w:val="45987F60"/>
    <w:rsid w:val="45A728CF"/>
    <w:rsid w:val="45F2594B"/>
    <w:rsid w:val="45FD1EA0"/>
    <w:rsid w:val="4623381D"/>
    <w:rsid w:val="46F378AA"/>
    <w:rsid w:val="47030FAD"/>
    <w:rsid w:val="47041859"/>
    <w:rsid w:val="4709527F"/>
    <w:rsid w:val="47900C4B"/>
    <w:rsid w:val="4811685B"/>
    <w:rsid w:val="48131200"/>
    <w:rsid w:val="4817698D"/>
    <w:rsid w:val="481E6270"/>
    <w:rsid w:val="4844104A"/>
    <w:rsid w:val="484F4822"/>
    <w:rsid w:val="487E74A6"/>
    <w:rsid w:val="48BE089B"/>
    <w:rsid w:val="48D534BE"/>
    <w:rsid w:val="48DD7D5B"/>
    <w:rsid w:val="49CA2C02"/>
    <w:rsid w:val="4A225DB2"/>
    <w:rsid w:val="4A352430"/>
    <w:rsid w:val="4A4905D4"/>
    <w:rsid w:val="4A672F3D"/>
    <w:rsid w:val="4AC951D7"/>
    <w:rsid w:val="4ADE0CE3"/>
    <w:rsid w:val="4B3770A4"/>
    <w:rsid w:val="4B466FAD"/>
    <w:rsid w:val="4B4B404E"/>
    <w:rsid w:val="4B5D4A3F"/>
    <w:rsid w:val="4CD14F6B"/>
    <w:rsid w:val="4D070325"/>
    <w:rsid w:val="4D33049D"/>
    <w:rsid w:val="4D4D4E33"/>
    <w:rsid w:val="4D9C0083"/>
    <w:rsid w:val="4DD37236"/>
    <w:rsid w:val="4E5E7DA6"/>
    <w:rsid w:val="4E83360B"/>
    <w:rsid w:val="4E861C30"/>
    <w:rsid w:val="4F2507A7"/>
    <w:rsid w:val="4F6D67C6"/>
    <w:rsid w:val="4F987EF8"/>
    <w:rsid w:val="4FFB2DCA"/>
    <w:rsid w:val="50A31978"/>
    <w:rsid w:val="50BC7D0C"/>
    <w:rsid w:val="50CB6023"/>
    <w:rsid w:val="51552989"/>
    <w:rsid w:val="5187423C"/>
    <w:rsid w:val="51AC7858"/>
    <w:rsid w:val="51AD5EF5"/>
    <w:rsid w:val="51AE2408"/>
    <w:rsid w:val="51D67DDF"/>
    <w:rsid w:val="521366BC"/>
    <w:rsid w:val="52B7428A"/>
    <w:rsid w:val="52DD7CEF"/>
    <w:rsid w:val="530F0317"/>
    <w:rsid w:val="531209B6"/>
    <w:rsid w:val="53154C48"/>
    <w:rsid w:val="535A674A"/>
    <w:rsid w:val="537D1FBD"/>
    <w:rsid w:val="539B28B1"/>
    <w:rsid w:val="53B334B9"/>
    <w:rsid w:val="53CB293A"/>
    <w:rsid w:val="53E10B9A"/>
    <w:rsid w:val="54247540"/>
    <w:rsid w:val="546062BA"/>
    <w:rsid w:val="54727A5B"/>
    <w:rsid w:val="54B07764"/>
    <w:rsid w:val="55057BF6"/>
    <w:rsid w:val="552B477B"/>
    <w:rsid w:val="5530020F"/>
    <w:rsid w:val="554E637F"/>
    <w:rsid w:val="55AA6E82"/>
    <w:rsid w:val="55D3655C"/>
    <w:rsid w:val="55E01227"/>
    <w:rsid w:val="56A54F31"/>
    <w:rsid w:val="56BA5AB8"/>
    <w:rsid w:val="56C95779"/>
    <w:rsid w:val="57286365"/>
    <w:rsid w:val="573150A5"/>
    <w:rsid w:val="576B4667"/>
    <w:rsid w:val="578F3B6C"/>
    <w:rsid w:val="584C33F4"/>
    <w:rsid w:val="58D357A1"/>
    <w:rsid w:val="58D55EF5"/>
    <w:rsid w:val="59106210"/>
    <w:rsid w:val="595C545F"/>
    <w:rsid w:val="59A83024"/>
    <w:rsid w:val="59FB0D6C"/>
    <w:rsid w:val="5A002152"/>
    <w:rsid w:val="5A035D87"/>
    <w:rsid w:val="5A191A60"/>
    <w:rsid w:val="5A452BDB"/>
    <w:rsid w:val="5A552005"/>
    <w:rsid w:val="5A5E7BCD"/>
    <w:rsid w:val="5A7170E5"/>
    <w:rsid w:val="5A9227D5"/>
    <w:rsid w:val="5AC87871"/>
    <w:rsid w:val="5AE25323"/>
    <w:rsid w:val="5B255EE2"/>
    <w:rsid w:val="5B3653EC"/>
    <w:rsid w:val="5B673F1E"/>
    <w:rsid w:val="5B68275F"/>
    <w:rsid w:val="5B756678"/>
    <w:rsid w:val="5B9C4B85"/>
    <w:rsid w:val="5BAC2079"/>
    <w:rsid w:val="5BAC49DF"/>
    <w:rsid w:val="5C014B4A"/>
    <w:rsid w:val="5C196076"/>
    <w:rsid w:val="5C253B98"/>
    <w:rsid w:val="5C286A58"/>
    <w:rsid w:val="5D2C2E92"/>
    <w:rsid w:val="5D596694"/>
    <w:rsid w:val="5D747261"/>
    <w:rsid w:val="5D8D21F2"/>
    <w:rsid w:val="5DF36D5F"/>
    <w:rsid w:val="5E046BE0"/>
    <w:rsid w:val="5E130E1F"/>
    <w:rsid w:val="5E7C315E"/>
    <w:rsid w:val="5E83046A"/>
    <w:rsid w:val="5E836E05"/>
    <w:rsid w:val="5EEA3DAF"/>
    <w:rsid w:val="5EED18AB"/>
    <w:rsid w:val="5EF2534E"/>
    <w:rsid w:val="5F162A5F"/>
    <w:rsid w:val="5F221D7E"/>
    <w:rsid w:val="5F2B3573"/>
    <w:rsid w:val="5F3452B2"/>
    <w:rsid w:val="5F4C706C"/>
    <w:rsid w:val="5F832683"/>
    <w:rsid w:val="5F8C494A"/>
    <w:rsid w:val="5FF31D53"/>
    <w:rsid w:val="604136B4"/>
    <w:rsid w:val="60897430"/>
    <w:rsid w:val="609D345A"/>
    <w:rsid w:val="609F0461"/>
    <w:rsid w:val="6134602E"/>
    <w:rsid w:val="61BF594B"/>
    <w:rsid w:val="61CC5B2A"/>
    <w:rsid w:val="61D606BA"/>
    <w:rsid w:val="61DB6FD4"/>
    <w:rsid w:val="61DC3DC9"/>
    <w:rsid w:val="622B3B75"/>
    <w:rsid w:val="62777749"/>
    <w:rsid w:val="62977805"/>
    <w:rsid w:val="629C23C6"/>
    <w:rsid w:val="62A013D4"/>
    <w:rsid w:val="62BB75D5"/>
    <w:rsid w:val="62E01805"/>
    <w:rsid w:val="630029C1"/>
    <w:rsid w:val="6312426B"/>
    <w:rsid w:val="635C14CD"/>
    <w:rsid w:val="63C24331"/>
    <w:rsid w:val="649A30D3"/>
    <w:rsid w:val="649F7D23"/>
    <w:rsid w:val="64AC4BE3"/>
    <w:rsid w:val="64D451FA"/>
    <w:rsid w:val="64F657F3"/>
    <w:rsid w:val="65556A9A"/>
    <w:rsid w:val="65681A86"/>
    <w:rsid w:val="65A562A1"/>
    <w:rsid w:val="66144E7E"/>
    <w:rsid w:val="661E072B"/>
    <w:rsid w:val="662B0D6A"/>
    <w:rsid w:val="662F73C2"/>
    <w:rsid w:val="66577B70"/>
    <w:rsid w:val="669A5E60"/>
    <w:rsid w:val="66EC0597"/>
    <w:rsid w:val="670A1D15"/>
    <w:rsid w:val="674A7245"/>
    <w:rsid w:val="676777F6"/>
    <w:rsid w:val="676D1E6A"/>
    <w:rsid w:val="6777581B"/>
    <w:rsid w:val="68437C04"/>
    <w:rsid w:val="684B1EC2"/>
    <w:rsid w:val="688A2560"/>
    <w:rsid w:val="68C04C57"/>
    <w:rsid w:val="68D27885"/>
    <w:rsid w:val="68D409EC"/>
    <w:rsid w:val="68F36BC5"/>
    <w:rsid w:val="695B36DB"/>
    <w:rsid w:val="69702F66"/>
    <w:rsid w:val="69751265"/>
    <w:rsid w:val="6A104E5F"/>
    <w:rsid w:val="6A2130DD"/>
    <w:rsid w:val="6A9D36E0"/>
    <w:rsid w:val="6AD15477"/>
    <w:rsid w:val="6AF50CC5"/>
    <w:rsid w:val="6BD85FB3"/>
    <w:rsid w:val="6BE668ED"/>
    <w:rsid w:val="6C0544E7"/>
    <w:rsid w:val="6C0E4BF1"/>
    <w:rsid w:val="6C2940DA"/>
    <w:rsid w:val="6C52586E"/>
    <w:rsid w:val="6C5730E3"/>
    <w:rsid w:val="6C6B70B9"/>
    <w:rsid w:val="6C86476C"/>
    <w:rsid w:val="6CA87611"/>
    <w:rsid w:val="6CBA0529"/>
    <w:rsid w:val="6CFA0C56"/>
    <w:rsid w:val="6D996D27"/>
    <w:rsid w:val="6DCA7621"/>
    <w:rsid w:val="6DD86D4A"/>
    <w:rsid w:val="6E274469"/>
    <w:rsid w:val="6EA53130"/>
    <w:rsid w:val="6EE6368D"/>
    <w:rsid w:val="6F08246C"/>
    <w:rsid w:val="6F17520D"/>
    <w:rsid w:val="6F4D5337"/>
    <w:rsid w:val="6F873248"/>
    <w:rsid w:val="6F934D2D"/>
    <w:rsid w:val="6F9804E9"/>
    <w:rsid w:val="6FBD49F5"/>
    <w:rsid w:val="703035D1"/>
    <w:rsid w:val="70B3348D"/>
    <w:rsid w:val="71452643"/>
    <w:rsid w:val="724D3FD0"/>
    <w:rsid w:val="724F1ACC"/>
    <w:rsid w:val="72706244"/>
    <w:rsid w:val="7296528C"/>
    <w:rsid w:val="72D9663F"/>
    <w:rsid w:val="73362AE9"/>
    <w:rsid w:val="73374626"/>
    <w:rsid w:val="735F3FFA"/>
    <w:rsid w:val="73C070B2"/>
    <w:rsid w:val="73CF5088"/>
    <w:rsid w:val="744040DD"/>
    <w:rsid w:val="74805F40"/>
    <w:rsid w:val="74C62827"/>
    <w:rsid w:val="7526766C"/>
    <w:rsid w:val="755C4C7E"/>
    <w:rsid w:val="756229C7"/>
    <w:rsid w:val="75815A6D"/>
    <w:rsid w:val="75894543"/>
    <w:rsid w:val="75BD4EED"/>
    <w:rsid w:val="75CB5A62"/>
    <w:rsid w:val="75D80E26"/>
    <w:rsid w:val="7614423F"/>
    <w:rsid w:val="761E10B9"/>
    <w:rsid w:val="7638180E"/>
    <w:rsid w:val="763B50EF"/>
    <w:rsid w:val="764A40AD"/>
    <w:rsid w:val="76643165"/>
    <w:rsid w:val="76770579"/>
    <w:rsid w:val="76790E1C"/>
    <w:rsid w:val="769A185B"/>
    <w:rsid w:val="76AF75EC"/>
    <w:rsid w:val="76DE3262"/>
    <w:rsid w:val="76E357F2"/>
    <w:rsid w:val="76E3643C"/>
    <w:rsid w:val="77DD5EB3"/>
    <w:rsid w:val="783D05A5"/>
    <w:rsid w:val="786A1D70"/>
    <w:rsid w:val="787F447D"/>
    <w:rsid w:val="788E2E48"/>
    <w:rsid w:val="78A200FA"/>
    <w:rsid w:val="793A1115"/>
    <w:rsid w:val="79812F6D"/>
    <w:rsid w:val="798F35E3"/>
    <w:rsid w:val="79D07EDA"/>
    <w:rsid w:val="79DB102B"/>
    <w:rsid w:val="79DE6B25"/>
    <w:rsid w:val="7A0C2C64"/>
    <w:rsid w:val="7A58528D"/>
    <w:rsid w:val="7A596CD0"/>
    <w:rsid w:val="7A6F6C56"/>
    <w:rsid w:val="7ABB30B9"/>
    <w:rsid w:val="7AE217B8"/>
    <w:rsid w:val="7AEB7CC9"/>
    <w:rsid w:val="7B230F8F"/>
    <w:rsid w:val="7B4C2F1B"/>
    <w:rsid w:val="7B8B542F"/>
    <w:rsid w:val="7BCB0CF5"/>
    <w:rsid w:val="7C3D5F0B"/>
    <w:rsid w:val="7C8E2ABA"/>
    <w:rsid w:val="7CA718F1"/>
    <w:rsid w:val="7CC576C6"/>
    <w:rsid w:val="7CF015D5"/>
    <w:rsid w:val="7D56740E"/>
    <w:rsid w:val="7D8312A0"/>
    <w:rsid w:val="7DC6476A"/>
    <w:rsid w:val="7DEA5D26"/>
    <w:rsid w:val="7DF31EEA"/>
    <w:rsid w:val="7E552AA1"/>
    <w:rsid w:val="7ED20C78"/>
    <w:rsid w:val="7F001EE0"/>
    <w:rsid w:val="7F0A432E"/>
    <w:rsid w:val="7F2944FB"/>
    <w:rsid w:val="7F4F563E"/>
    <w:rsid w:val="7FE13652"/>
    <w:rsid w:val="7FE96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21"/>
    <w:qFormat/>
    <w:uiPriority w:val="0"/>
    <w:pPr>
      <w:keepNext/>
      <w:numPr>
        <w:ilvl w:val="0"/>
        <w:numId w:val="1"/>
      </w:numPr>
      <w:spacing w:before="120"/>
      <w:outlineLvl w:val="0"/>
    </w:pPr>
    <w:rPr>
      <w:b/>
      <w:bCs/>
      <w:sz w:val="28"/>
      <w:szCs w:val="28"/>
    </w:rPr>
  </w:style>
  <w:style w:type="paragraph" w:styleId="3">
    <w:name w:val="heading 2"/>
    <w:basedOn w:val="1"/>
    <w:next w:val="1"/>
    <w:link w:val="22"/>
    <w:qFormat/>
    <w:uiPriority w:val="0"/>
    <w:pPr>
      <w:keepNext/>
      <w:numPr>
        <w:ilvl w:val="1"/>
        <w:numId w:val="1"/>
      </w:numPr>
      <w:tabs>
        <w:tab w:val="clear" w:pos="1002"/>
      </w:tabs>
      <w:spacing w:before="120"/>
      <w:ind w:left="576"/>
      <w:outlineLvl w:val="1"/>
    </w:pPr>
    <w:rPr>
      <w:b/>
      <w:bCs/>
      <w:sz w:val="24"/>
    </w:rPr>
  </w:style>
  <w:style w:type="paragraph" w:styleId="4">
    <w:name w:val="heading 3"/>
    <w:basedOn w:val="1"/>
    <w:next w:val="1"/>
    <w:link w:val="23"/>
    <w:qFormat/>
    <w:uiPriority w:val="0"/>
    <w:pPr>
      <w:keepNext/>
      <w:numPr>
        <w:ilvl w:val="2"/>
        <w:numId w:val="1"/>
      </w:numPr>
      <w:spacing w:before="120"/>
      <w:outlineLvl w:val="2"/>
    </w:pPr>
    <w:rPr>
      <w:b/>
    </w:rPr>
  </w:style>
  <w:style w:type="paragraph" w:styleId="5">
    <w:name w:val="heading 4"/>
    <w:basedOn w:val="1"/>
    <w:next w:val="1"/>
    <w:link w:val="24"/>
    <w:qFormat/>
    <w:uiPriority w:val="0"/>
    <w:pPr>
      <w:keepNext/>
      <w:numPr>
        <w:ilvl w:val="3"/>
        <w:numId w:val="1"/>
      </w:numPr>
      <w:spacing w:before="120"/>
      <w:outlineLvl w:val="3"/>
    </w:pPr>
    <w:rPr>
      <w:b/>
      <w:bCs/>
      <w:szCs w:val="28"/>
    </w:rPr>
  </w:style>
  <w:style w:type="paragraph" w:styleId="6">
    <w:name w:val="heading 5"/>
    <w:basedOn w:val="1"/>
    <w:next w:val="1"/>
    <w:link w:val="25"/>
    <w:qFormat/>
    <w:uiPriority w:val="0"/>
    <w:pPr>
      <w:keepNext/>
      <w:numPr>
        <w:ilvl w:val="4"/>
        <w:numId w:val="1"/>
      </w:numPr>
      <w:spacing w:before="120"/>
      <w:outlineLvl w:val="4"/>
    </w:pPr>
    <w:rPr>
      <w:b/>
      <w:bCs/>
      <w:i/>
      <w:iCs/>
      <w:szCs w:val="26"/>
    </w:rPr>
  </w:style>
  <w:style w:type="paragraph" w:styleId="7">
    <w:name w:val="heading 6"/>
    <w:basedOn w:val="1"/>
    <w:next w:val="1"/>
    <w:link w:val="26"/>
    <w:qFormat/>
    <w:uiPriority w:val="0"/>
    <w:pPr>
      <w:numPr>
        <w:ilvl w:val="5"/>
        <w:numId w:val="1"/>
      </w:numPr>
      <w:spacing w:before="240" w:after="60"/>
      <w:outlineLvl w:val="5"/>
    </w:pPr>
    <w:rPr>
      <w:b/>
      <w:bCs/>
    </w:rPr>
  </w:style>
  <w:style w:type="paragraph" w:styleId="8">
    <w:name w:val="heading 7"/>
    <w:basedOn w:val="1"/>
    <w:next w:val="1"/>
    <w:link w:val="27"/>
    <w:qFormat/>
    <w:uiPriority w:val="0"/>
    <w:pPr>
      <w:numPr>
        <w:ilvl w:val="6"/>
        <w:numId w:val="1"/>
      </w:numPr>
      <w:spacing w:before="240" w:after="60"/>
      <w:outlineLvl w:val="6"/>
    </w:pPr>
    <w:rPr>
      <w:sz w:val="24"/>
      <w:szCs w:val="24"/>
    </w:rPr>
  </w:style>
  <w:style w:type="paragraph" w:styleId="9">
    <w:name w:val="heading 8"/>
    <w:basedOn w:val="1"/>
    <w:next w:val="1"/>
    <w:link w:val="28"/>
    <w:qFormat/>
    <w:uiPriority w:val="0"/>
    <w:pPr>
      <w:numPr>
        <w:ilvl w:val="7"/>
        <w:numId w:val="1"/>
      </w:numPr>
      <w:spacing w:before="240" w:after="60"/>
      <w:outlineLvl w:val="7"/>
    </w:pPr>
    <w:rPr>
      <w:i/>
      <w:iCs/>
      <w:sz w:val="24"/>
      <w:szCs w:val="24"/>
    </w:rPr>
  </w:style>
  <w:style w:type="paragraph" w:styleId="10">
    <w:name w:val="heading 9"/>
    <w:basedOn w:val="1"/>
    <w:next w:val="1"/>
    <w:link w:val="29"/>
    <w:qFormat/>
    <w:uiPriority w:val="0"/>
    <w:pPr>
      <w:numPr>
        <w:ilvl w:val="8"/>
        <w:numId w:val="1"/>
      </w:numPr>
      <w:spacing w:before="240" w:after="60"/>
      <w:outlineLvl w:val="8"/>
    </w:pPr>
    <w:rPr>
      <w:rFonts w:ascii="Arial" w:hAnsi="Arial"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rFonts w:ascii="Arial" w:hAnsi="Arial"/>
    </w:rPr>
  </w:style>
  <w:style w:type="paragraph" w:styleId="13">
    <w:name w:val="footer"/>
    <w:basedOn w:val="14"/>
    <w:link w:val="36"/>
    <w:qFormat/>
    <w:uiPriority w:val="99"/>
    <w:pPr>
      <w:tabs>
        <w:tab w:val="center" w:pos="4153"/>
        <w:tab w:val="right" w:pos="8306"/>
      </w:tabs>
      <w:jc w:val="left"/>
    </w:pPr>
  </w:style>
  <w:style w:type="paragraph" w:styleId="14">
    <w:name w:val="header"/>
    <w:basedOn w:val="1"/>
    <w:link w:val="35"/>
    <w:qFormat/>
    <w:uiPriority w:val="99"/>
    <w:pPr>
      <w:pBdr>
        <w:bottom w:val="single" w:color="auto" w:sz="6" w:space="1"/>
      </w:pBdr>
      <w:tabs>
        <w:tab w:val="center" w:pos="4153"/>
        <w:tab w:val="right" w:pos="8306"/>
      </w:tabs>
      <w:jc w:val="center"/>
    </w:pPr>
    <w:rPr>
      <w:sz w:val="18"/>
      <w:szCs w:val="18"/>
    </w:rPr>
  </w:style>
  <w:style w:type="paragraph" w:styleId="15">
    <w:name w:val="List"/>
    <w:basedOn w:val="1"/>
    <w:qFormat/>
    <w:uiPriority w:val="0"/>
    <w:pPr>
      <w:ind w:left="568" w:hanging="284"/>
    </w:pPr>
  </w:style>
  <w:style w:type="table" w:styleId="17">
    <w:name w:val="Table Grid"/>
    <w:basedOn w:val="16"/>
    <w:qFormat/>
    <w:uiPriority w:val="5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style>
  <w:style w:type="character" w:styleId="20">
    <w:name w:val="page number"/>
    <w:basedOn w:val="18"/>
    <w:qFormat/>
    <w:uiPriority w:val="0"/>
  </w:style>
  <w:style w:type="character" w:customStyle="1" w:styleId="21">
    <w:name w:val="标题 1 字符"/>
    <w:basedOn w:val="18"/>
    <w:link w:val="2"/>
    <w:qFormat/>
    <w:uiPriority w:val="0"/>
    <w:rPr>
      <w:rFonts w:ascii="Times New Roman" w:hAnsi="Times New Roman" w:eastAsia="宋体" w:cs="Times New Roman"/>
      <w:b/>
      <w:bCs/>
      <w:kern w:val="0"/>
      <w:sz w:val="28"/>
      <w:szCs w:val="28"/>
      <w:lang w:eastAsia="en-US"/>
    </w:rPr>
  </w:style>
  <w:style w:type="character" w:customStyle="1" w:styleId="22">
    <w:name w:val="标题 2 字符"/>
    <w:basedOn w:val="18"/>
    <w:link w:val="3"/>
    <w:qFormat/>
    <w:uiPriority w:val="0"/>
    <w:rPr>
      <w:rFonts w:ascii="Times New Roman" w:hAnsi="Times New Roman" w:eastAsia="宋体" w:cs="Times New Roman"/>
      <w:b/>
      <w:bCs/>
      <w:kern w:val="0"/>
      <w:sz w:val="24"/>
      <w:lang w:eastAsia="en-US"/>
    </w:rPr>
  </w:style>
  <w:style w:type="character" w:customStyle="1" w:styleId="23">
    <w:name w:val="标题 3 字符"/>
    <w:basedOn w:val="18"/>
    <w:link w:val="4"/>
    <w:qFormat/>
    <w:uiPriority w:val="0"/>
    <w:rPr>
      <w:rFonts w:ascii="Times New Roman" w:hAnsi="Times New Roman" w:eastAsia="宋体" w:cs="Times New Roman"/>
      <w:b/>
      <w:kern w:val="0"/>
      <w:sz w:val="22"/>
      <w:lang w:eastAsia="en-US"/>
    </w:rPr>
  </w:style>
  <w:style w:type="character" w:customStyle="1" w:styleId="24">
    <w:name w:val="标题 4 字符"/>
    <w:basedOn w:val="18"/>
    <w:link w:val="5"/>
    <w:qFormat/>
    <w:uiPriority w:val="0"/>
    <w:rPr>
      <w:rFonts w:ascii="Times New Roman" w:hAnsi="Times New Roman" w:eastAsia="宋体" w:cs="Times New Roman"/>
      <w:b/>
      <w:bCs/>
      <w:kern w:val="0"/>
      <w:sz w:val="22"/>
      <w:szCs w:val="28"/>
      <w:lang w:eastAsia="en-US"/>
    </w:rPr>
  </w:style>
  <w:style w:type="character" w:customStyle="1" w:styleId="25">
    <w:name w:val="标题 5 字符"/>
    <w:basedOn w:val="18"/>
    <w:link w:val="6"/>
    <w:qFormat/>
    <w:uiPriority w:val="0"/>
    <w:rPr>
      <w:rFonts w:ascii="Times New Roman" w:hAnsi="Times New Roman" w:eastAsia="宋体" w:cs="Times New Roman"/>
      <w:b/>
      <w:bCs/>
      <w:i/>
      <w:iCs/>
      <w:kern w:val="0"/>
      <w:sz w:val="22"/>
      <w:szCs w:val="26"/>
      <w:lang w:eastAsia="en-US"/>
    </w:rPr>
  </w:style>
  <w:style w:type="character" w:customStyle="1" w:styleId="26">
    <w:name w:val="标题 6 字符"/>
    <w:basedOn w:val="18"/>
    <w:link w:val="7"/>
    <w:qFormat/>
    <w:uiPriority w:val="0"/>
    <w:rPr>
      <w:rFonts w:ascii="Times New Roman" w:hAnsi="Times New Roman" w:eastAsia="宋体" w:cs="Times New Roman"/>
      <w:b/>
      <w:bCs/>
      <w:kern w:val="0"/>
      <w:sz w:val="22"/>
      <w:lang w:eastAsia="en-US"/>
    </w:rPr>
  </w:style>
  <w:style w:type="character" w:customStyle="1" w:styleId="27">
    <w:name w:val="标题 7 字符"/>
    <w:basedOn w:val="18"/>
    <w:link w:val="8"/>
    <w:qFormat/>
    <w:uiPriority w:val="0"/>
    <w:rPr>
      <w:rFonts w:ascii="Times New Roman" w:hAnsi="Times New Roman" w:eastAsia="宋体" w:cs="Times New Roman"/>
      <w:kern w:val="0"/>
      <w:sz w:val="24"/>
      <w:szCs w:val="24"/>
      <w:lang w:eastAsia="en-US"/>
    </w:rPr>
  </w:style>
  <w:style w:type="character" w:customStyle="1" w:styleId="28">
    <w:name w:val="标题 8 字符"/>
    <w:basedOn w:val="18"/>
    <w:link w:val="9"/>
    <w:qFormat/>
    <w:uiPriority w:val="0"/>
    <w:rPr>
      <w:rFonts w:ascii="Times New Roman" w:hAnsi="Times New Roman" w:eastAsia="宋体" w:cs="Times New Roman"/>
      <w:i/>
      <w:iCs/>
      <w:kern w:val="0"/>
      <w:sz w:val="24"/>
      <w:szCs w:val="24"/>
      <w:lang w:eastAsia="en-US"/>
    </w:rPr>
  </w:style>
  <w:style w:type="character" w:customStyle="1" w:styleId="29">
    <w:name w:val="标题 9 字符"/>
    <w:basedOn w:val="18"/>
    <w:link w:val="10"/>
    <w:qFormat/>
    <w:uiPriority w:val="0"/>
    <w:rPr>
      <w:rFonts w:ascii="Arial" w:hAnsi="Arial" w:eastAsia="宋体" w:cs="Arial"/>
      <w:kern w:val="0"/>
      <w:sz w:val="22"/>
      <w:lang w:eastAsia="en-US"/>
    </w:rPr>
  </w:style>
  <w:style w:type="character" w:customStyle="1" w:styleId="30">
    <w:name w:val="列出段落 字符"/>
    <w:link w:val="31"/>
    <w:qFormat/>
    <w:uiPriority w:val="34"/>
    <w:rPr>
      <w:rFonts w:ascii="Century" w:hAnsi="Century" w:eastAsia="MS Mincho"/>
      <w:lang w:eastAsia="ja-JP"/>
    </w:rPr>
  </w:style>
  <w:style w:type="paragraph" w:styleId="31">
    <w:name w:val="List Paragraph"/>
    <w:basedOn w:val="1"/>
    <w:link w:val="30"/>
    <w:qFormat/>
    <w:uiPriority w:val="34"/>
    <w:pPr>
      <w:widowControl w:val="0"/>
      <w:autoSpaceDE/>
      <w:autoSpaceDN/>
      <w:adjustRightInd/>
      <w:snapToGrid/>
      <w:spacing w:after="0"/>
      <w:ind w:left="840" w:leftChars="400"/>
    </w:pPr>
    <w:rPr>
      <w:rFonts w:ascii="Century" w:hAnsi="Century" w:eastAsia="MS Mincho" w:cs="宋体"/>
      <w:kern w:val="2"/>
      <w:sz w:val="21"/>
      <w:lang w:eastAsia="ja-JP"/>
    </w:rPr>
  </w:style>
  <w:style w:type="paragraph" w:customStyle="1" w:styleId="32">
    <w:name w:val="References"/>
    <w:basedOn w:val="1"/>
    <w:qFormat/>
    <w:uiPriority w:val="0"/>
    <w:pPr>
      <w:numPr>
        <w:ilvl w:val="0"/>
        <w:numId w:val="2"/>
      </w:numPr>
      <w:adjustRightInd/>
      <w:spacing w:after="60"/>
    </w:pPr>
    <w:rPr>
      <w:sz w:val="20"/>
      <w:szCs w:val="16"/>
    </w:rPr>
  </w:style>
  <w:style w:type="paragraph" w:customStyle="1" w:styleId="33">
    <w:name w:val="Eqn"/>
    <w:basedOn w:val="1"/>
    <w:qFormat/>
    <w:uiPriority w:val="0"/>
    <w:pPr>
      <w:tabs>
        <w:tab w:val="center" w:pos="4608"/>
        <w:tab w:val="right" w:pos="9216"/>
      </w:tabs>
    </w:pPr>
    <w:rPr>
      <w:lang w:eastAsia="ja-JP"/>
    </w:rPr>
  </w:style>
  <w:style w:type="character" w:customStyle="1" w:styleId="34">
    <w:name w:val="ordinary-span-edit2"/>
    <w:basedOn w:val="18"/>
    <w:qFormat/>
    <w:uiPriority w:val="0"/>
  </w:style>
  <w:style w:type="character" w:customStyle="1" w:styleId="35">
    <w:name w:val="页眉 字符"/>
    <w:basedOn w:val="18"/>
    <w:link w:val="14"/>
    <w:qFormat/>
    <w:uiPriority w:val="99"/>
    <w:rPr>
      <w:rFonts w:ascii="Times New Roman" w:hAnsi="Times New Roman" w:eastAsia="宋体" w:cs="Times New Roman"/>
      <w:sz w:val="18"/>
      <w:szCs w:val="18"/>
      <w:lang w:eastAsia="en-US"/>
    </w:rPr>
  </w:style>
  <w:style w:type="character" w:customStyle="1" w:styleId="36">
    <w:name w:val="页脚 字符"/>
    <w:basedOn w:val="18"/>
    <w:link w:val="13"/>
    <w:qFormat/>
    <w:uiPriority w:val="99"/>
    <w:rPr>
      <w:rFonts w:ascii="Times New Roman" w:hAnsi="Times New Roman" w:eastAsia="宋体" w:cs="Times New Roman"/>
      <w:sz w:val="18"/>
      <w:szCs w:val="18"/>
      <w:lang w:eastAsia="en-US"/>
    </w:rPr>
  </w:style>
  <w:style w:type="character" w:customStyle="1" w:styleId="37">
    <w:name w:val="apple-converted-space"/>
    <w:qFormat/>
    <w:uiPriority w:val="0"/>
  </w:style>
  <w:style w:type="paragraph" w:customStyle="1" w:styleId="38">
    <w:name w:val="Reference"/>
    <w:basedOn w:val="12"/>
    <w:qFormat/>
    <w:uiPriority w:val="0"/>
    <w:pPr>
      <w:numPr>
        <w:ilvl w:val="0"/>
        <w:numId w:val="3"/>
      </w:numPr>
    </w:pPr>
  </w:style>
  <w:style w:type="paragraph" w:customStyle="1" w:styleId="39">
    <w:name w:val="B1"/>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3608</Words>
  <Characters>20572</Characters>
  <Lines>171</Lines>
  <Paragraphs>48</Paragraphs>
  <TotalTime>0</TotalTime>
  <ScaleCrop>false</ScaleCrop>
  <LinksUpToDate>false</LinksUpToDate>
  <CharactersWithSpaces>24132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2021-06-24T05:20:00Z</dcterms:created>
  <dc:creator>z lj</dc:creator>
  <cp:lastModifiedBy>YONG</cp:lastModifiedBy>
  <dcterms:modified xsi:type="dcterms:W3CDTF">2021-11-06T03:37:48Z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0211399673BA44F8865DB92DADB6FED5</vt:lpwstr>
  </property>
</Properties>
</file>